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41514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41514B" w:rsidRDefault="0041514B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0B013E" w:rsidRPr="007E1360" w:rsidRDefault="000B013E" w:rsidP="000B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6305"/>
        <w:gridCol w:w="394"/>
        <w:gridCol w:w="136"/>
      </w:tblGrid>
      <w:tr w:rsidR="000B013E" w:rsidRPr="004F1D76" w:rsidTr="008C337E">
        <w:trPr>
          <w:gridAfter w:val="1"/>
          <w:wAfter w:w="76" w:type="pct"/>
        </w:trPr>
        <w:tc>
          <w:tcPr>
            <w:tcW w:w="12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Obchodné meno:</w:t>
            </w:r>
          </w:p>
        </w:tc>
        <w:tc>
          <w:tcPr>
            <w:tcW w:w="3692" w:type="pct"/>
            <w:gridSpan w:val="2"/>
            <w:tcBorders>
              <w:top w:val="nil"/>
              <w:left w:val="nil"/>
              <w:right w:val="nil"/>
            </w:tcBorders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Lesy</w:t>
            </w:r>
            <w:r w:rsidRPr="004F1D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Slovenskej republiky, štátny podnik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tabs>
                <w:tab w:val="left" w:pos="1620"/>
                <w:tab w:val="left" w:pos="3402"/>
              </w:tabs>
              <w:suppressAutoHyphens/>
              <w:spacing w:after="0" w:line="360" w:lineRule="auto"/>
              <w:ind w:right="12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Organizačná zložka: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 Tribeč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Parková 7, 951 93 Topoľčianky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Právne zastúpený: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Daniel Benček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vedúci organizačnej zložky OZ Tribeč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36 038 351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2020087982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 DPH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SK2020087982</w:t>
            </w:r>
          </w:p>
        </w:tc>
      </w:tr>
      <w:tr w:rsidR="000B013E" w:rsidRPr="004F1D76" w:rsidTr="008C337E"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Zapísaný v Obchodnom registri Okresného súdu v Banskej Bystrici dňa 29.10.1999, Oddiel </w:t>
            </w:r>
            <w:proofErr w:type="spellStart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Pš</w:t>
            </w:r>
            <w:proofErr w:type="spellEnd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vložka č.155/S</w:t>
            </w:r>
          </w:p>
        </w:tc>
      </w:tr>
    </w:tbl>
    <w:p w:rsidR="000B013E" w:rsidRPr="007E1360" w:rsidRDefault="000B013E" w:rsidP="000B013E">
      <w:pPr>
        <w:tabs>
          <w:tab w:val="left" w:pos="3544"/>
        </w:tabs>
        <w:spacing w:after="0" w:line="240" w:lineRule="auto"/>
        <w:ind w:left="3544" w:hanging="2835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0B013E" w:rsidRPr="001E0BB3" w:rsidRDefault="000B013E" w:rsidP="001E0BB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(ďalej len „</w:t>
      </w:r>
      <w:r w:rsidRPr="001E0BB3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Objednávateľ</w:t>
      </w: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“)</w:t>
      </w:r>
    </w:p>
    <w:p w:rsidR="000B013E" w:rsidRPr="007E1360" w:rsidRDefault="000B013E" w:rsidP="000B013E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B013E" w:rsidRPr="007E1360" w:rsidRDefault="000B013E" w:rsidP="000B01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B013E" w:rsidRPr="007E1360" w:rsidRDefault="000B013E" w:rsidP="000B01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134"/>
      </w:tblGrid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Obchodné meno: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Sídlo: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before="100" w:beforeAutospacing="1" w:after="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DIČ: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 DPH: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Číslo účtu (IBAN):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Právne zastúpený: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Kontakt: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1E0BB3" w:rsidRDefault="00315365" w:rsidP="001E0BB3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1E0BB3">
        <w:rPr>
          <w:rFonts w:ascii="Arial" w:hAnsi="Arial" w:cs="Arial"/>
          <w:i/>
          <w:iCs/>
          <w:sz w:val="20"/>
          <w:szCs w:val="20"/>
        </w:rPr>
        <w:t>ďalej len „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1E0BB3">
        <w:rPr>
          <w:rFonts w:ascii="Arial" w:hAnsi="Arial" w:cs="Arial"/>
          <w:i/>
          <w:iCs/>
          <w:sz w:val="20"/>
          <w:szCs w:val="20"/>
        </w:rPr>
        <w:t>“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1E0BB3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037628" w:rsidRPr="0025436C" w:rsidRDefault="00315365" w:rsidP="000B013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</w:t>
      </w:r>
      <w:bookmarkStart w:id="0" w:name="_GoBack"/>
      <w:bookmarkEnd w:id="0"/>
      <w:r w:rsidRPr="0025436C">
        <w:rPr>
          <w:rFonts w:ascii="Arial" w:hAnsi="Arial" w:cs="Arial"/>
          <w:sz w:val="20"/>
          <w:szCs w:val="20"/>
        </w:rPr>
        <w:t xml:space="preserve">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 xml:space="preserve">DNS Krmivá na </w:t>
      </w:r>
      <w:r w:rsidR="004C5C35" w:rsidRPr="00DD160C">
        <w:rPr>
          <w:rFonts w:ascii="Arial" w:hAnsi="Arial" w:cs="Arial"/>
          <w:b/>
          <w:sz w:val="20"/>
          <w:szCs w:val="20"/>
        </w:rPr>
        <w:lastRenderedPageBreak/>
        <w:t>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.....pod značkou.... a vo vestníku verejného obstarávania č. ....zo dňa ...pod zn. ....., čiastková zákazka s názvom: </w:t>
      </w:r>
      <w:r w:rsidR="0041514B" w:rsidRPr="0041514B">
        <w:rPr>
          <w:rFonts w:ascii="Arial" w:hAnsi="Arial" w:cs="Arial"/>
          <w:sz w:val="20"/>
          <w:szCs w:val="20"/>
        </w:rPr>
        <w:t>DNS Krmivá na roky 2023-2027 - výzva pre O</w:t>
      </w:r>
      <w:r w:rsidR="005A7207">
        <w:rPr>
          <w:rFonts w:ascii="Arial" w:hAnsi="Arial" w:cs="Arial"/>
          <w:sz w:val="20"/>
          <w:szCs w:val="20"/>
        </w:rPr>
        <w:t>Z Tribeč – kukurica + ovos č. 05/05/</w:t>
      </w:r>
      <w:r w:rsidR="00FD0A0D">
        <w:rPr>
          <w:rFonts w:ascii="Arial" w:hAnsi="Arial" w:cs="Arial"/>
          <w:sz w:val="20"/>
          <w:szCs w:val="20"/>
        </w:rPr>
        <w:t>2024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7B64A6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41514B" w:rsidRDefault="00315365" w:rsidP="005A7207">
      <w:pPr>
        <w:pStyle w:val="Odsekzoznamu"/>
        <w:numPr>
          <w:ilvl w:val="0"/>
          <w:numId w:val="3"/>
        </w:numPr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:rsidR="0041514B" w:rsidRPr="0041514B" w:rsidRDefault="0041514B" w:rsidP="005A7207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sušenej, nenapadnutej hmyzom, voľne loženej kukurice pre zver. Žiadané množstvo kukurice je 170 ton / dodávané podľa potreby (nie naraz) vrátane dopravy v rámci OZ Tribeč nákladným autom aj do maximálnej dĺžky 8m (zavážanie priamo do zverníc – úzka cesta).</w:t>
      </w:r>
    </w:p>
    <w:p w:rsidR="0041514B" w:rsidRPr="0025436C" w:rsidRDefault="0041514B" w:rsidP="005A7207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sušeného, nenapadnutého hmyzom, voľne loženého ovsa pre zver. Ž</w:t>
      </w:r>
      <w:r w:rsidR="00FD0A0D">
        <w:rPr>
          <w:rFonts w:ascii="Arial" w:hAnsi="Arial" w:cs="Arial"/>
          <w:b/>
          <w:sz w:val="20"/>
          <w:szCs w:val="20"/>
        </w:rPr>
        <w:t xml:space="preserve">iadané množstvo ovsa je 50 ton </w:t>
      </w:r>
      <w:r w:rsidRPr="0041514B">
        <w:rPr>
          <w:rFonts w:ascii="Arial" w:hAnsi="Arial" w:cs="Arial"/>
          <w:b/>
          <w:sz w:val="20"/>
          <w:szCs w:val="20"/>
        </w:rPr>
        <w:t>dodávané podľa potreby (nie naraz) vrátane dopravy v rámci OZ Tribeč nákladným autom aj do maximálnej dĺžky 8m (zavážanie priamo do zverníc – úzka cesta)</w:t>
      </w:r>
      <w:r>
        <w:rPr>
          <w:rFonts w:ascii="Arial" w:hAnsi="Arial" w:cs="Arial"/>
          <w:b/>
          <w:sz w:val="20"/>
          <w:szCs w:val="20"/>
        </w:rPr>
        <w:t>.</w:t>
      </w:r>
    </w:p>
    <w:p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 xml:space="preserve">okamih, keď sa dostala objednávka do </w:t>
      </w:r>
      <w:r w:rsidRPr="0025436C">
        <w:rPr>
          <w:rFonts w:ascii="Arial" w:hAnsi="Arial" w:cs="Arial"/>
          <w:sz w:val="20"/>
          <w:szCs w:val="20"/>
        </w:rPr>
        <w:lastRenderedPageBreak/>
        <w:t>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7D1244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FD357A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177D99" w:rsidRDefault="00315365" w:rsidP="000B013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0B013E" w:rsidRPr="000B013E" w:rsidRDefault="000B013E" w:rsidP="000B013E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177D99" w:rsidRDefault="00315365" w:rsidP="000B013E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0B013E" w:rsidRPr="0025436C" w:rsidRDefault="000B013E" w:rsidP="000B013E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5A7207">
      <w:pPr>
        <w:numPr>
          <w:ilvl w:val="0"/>
          <w:numId w:val="8"/>
        </w:numPr>
        <w:spacing w:after="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5A7207">
      <w:pPr>
        <w:numPr>
          <w:ilvl w:val="0"/>
          <w:numId w:val="8"/>
        </w:numPr>
        <w:spacing w:after="12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predávajúci zároveň súhlasí, že zo strany kupujúceho </w:t>
      </w:r>
      <w:r w:rsidRPr="0025436C">
        <w:rPr>
          <w:rFonts w:ascii="Arial" w:hAnsi="Arial" w:cs="Arial"/>
          <w:sz w:val="20"/>
          <w:szCs w:val="20"/>
        </w:rPr>
        <w:lastRenderedPageBreak/>
        <w:t>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D919CD" w:rsidRPr="0041514B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Obchodné meno: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5A7207">
      <w:pPr>
        <w:pStyle w:val="Odsekzoznamu"/>
        <w:ind w:left="284" w:firstLine="76"/>
        <w:rPr>
          <w:rFonts w:ascii="Arial" w:hAnsi="Arial" w:cs="Arial"/>
          <w:sz w:val="20"/>
          <w:szCs w:val="20"/>
        </w:rPr>
      </w:pPr>
    </w:p>
    <w:p w:rsidR="00B86883" w:rsidRPr="0025436C" w:rsidRDefault="000036FF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A7207" w:rsidRP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A7207" w:rsidRPr="005A7207" w:rsidTr="008C337E">
        <w:tc>
          <w:tcPr>
            <w:tcW w:w="3476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V ..................., dňa .....................</w:t>
            </w:r>
          </w:p>
        </w:tc>
        <w:tc>
          <w:tcPr>
            <w:tcW w:w="1512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4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 xml:space="preserve">V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.........................,</w:t>
            </w:r>
            <w:r w:rsidRPr="005A7207">
              <w:rPr>
                <w:rFonts w:ascii="Arial" w:hAnsi="Arial" w:cs="Arial"/>
                <w:sz w:val="20"/>
                <w:szCs w:val="24"/>
              </w:rPr>
              <w:t xml:space="preserve"> dňa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</w:t>
            </w:r>
          </w:p>
        </w:tc>
      </w:tr>
    </w:tbl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3"/>
        <w:gridCol w:w="1513"/>
        <w:gridCol w:w="4076"/>
      </w:tblGrid>
      <w:tr w:rsidR="005A7207" w:rsidRPr="005A7207" w:rsidTr="008C337E">
        <w:tc>
          <w:tcPr>
            <w:tcW w:w="3528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Objednávateľ:</w:t>
            </w:r>
          </w:p>
        </w:tc>
        <w:tc>
          <w:tcPr>
            <w:tcW w:w="1542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Dodávateľ:</w:t>
            </w:r>
          </w:p>
        </w:tc>
      </w:tr>
    </w:tbl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1506"/>
        <w:gridCol w:w="4077"/>
      </w:tblGrid>
      <w:tr w:rsidR="005A7207" w:rsidRPr="005A7207" w:rsidTr="008C337E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</w:rPr>
              <w:t>Ing. Daniel Benček</w:t>
            </w:r>
          </w:p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 xml:space="preserve">vedúci organizačnej zložky OZ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b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  <w:highlight w:val="yellow"/>
              </w:rPr>
              <w:t>obchodné meno</w:t>
            </w:r>
          </w:p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zastúpená titul, meno a priezvisko</w:t>
            </w:r>
          </w:p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funkcia</w:t>
            </w:r>
          </w:p>
        </w:tc>
      </w:tr>
    </w:tbl>
    <w:p w:rsidR="008879F6" w:rsidRPr="0025436C" w:rsidRDefault="008879F6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b/>
          <w:bCs/>
          <w:sz w:val="20"/>
          <w:szCs w:val="20"/>
        </w:rPr>
      </w:pPr>
    </w:p>
    <w:sectPr w:rsidR="008879F6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20" w:rsidRDefault="00BA5620" w:rsidP="00B86821">
      <w:pPr>
        <w:spacing w:after="0" w:line="240" w:lineRule="auto"/>
      </w:pPr>
      <w:r>
        <w:separator/>
      </w:r>
    </w:p>
  </w:endnote>
  <w:endnote w:type="continuationSeparator" w:id="0">
    <w:p w:rsidR="00BA5620" w:rsidRDefault="00BA5620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B3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20" w:rsidRDefault="00BA5620" w:rsidP="00B86821">
      <w:pPr>
        <w:spacing w:after="0" w:line="240" w:lineRule="auto"/>
      </w:pPr>
      <w:r>
        <w:separator/>
      </w:r>
    </w:p>
  </w:footnote>
  <w:footnote w:type="continuationSeparator" w:id="0">
    <w:p w:rsidR="00BA5620" w:rsidRDefault="00BA5620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B013E"/>
    <w:rsid w:val="000C475A"/>
    <w:rsid w:val="000E0EB7"/>
    <w:rsid w:val="000E6B81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1E0BB3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A7207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20E88"/>
    <w:rsid w:val="0075603B"/>
    <w:rsid w:val="0075713D"/>
    <w:rsid w:val="00764326"/>
    <w:rsid w:val="007A5F44"/>
    <w:rsid w:val="007B64A6"/>
    <w:rsid w:val="007D1244"/>
    <w:rsid w:val="007E0705"/>
    <w:rsid w:val="007E2DF0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BA5620"/>
    <w:rsid w:val="00BE6CB6"/>
    <w:rsid w:val="00CB59E0"/>
    <w:rsid w:val="00D17D12"/>
    <w:rsid w:val="00D919CD"/>
    <w:rsid w:val="00DA6296"/>
    <w:rsid w:val="00DD160C"/>
    <w:rsid w:val="00DE7FEF"/>
    <w:rsid w:val="00DF532D"/>
    <w:rsid w:val="00E149C9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0A0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7FD3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194C-6AFF-4A07-A702-1E6185F1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14</cp:revision>
  <cp:lastPrinted>2022-08-22T08:37:00Z</cp:lastPrinted>
  <dcterms:created xsi:type="dcterms:W3CDTF">2023-05-18T11:59:00Z</dcterms:created>
  <dcterms:modified xsi:type="dcterms:W3CDTF">2024-08-07T07:41:00Z</dcterms:modified>
</cp:coreProperties>
</file>