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0CCDFB49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5519">
        <w:rPr>
          <w:rFonts w:ascii="Times New Roman" w:eastAsia="Calibri" w:hAnsi="Times New Roman"/>
          <w:noProof w:val="0"/>
          <w:szCs w:val="22"/>
          <w:lang w:eastAsia="en-US"/>
        </w:rPr>
        <w:t>Michal Plesník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6F05D53A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nadlimitnej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DB23A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v súlade so zákonom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DB23A7" w:rsidRPr="00DB23A7">
        <w:rPr>
          <w:rFonts w:ascii="Times New Roman" w:hAnsi="Times New Roman"/>
          <w:b/>
          <w:szCs w:val="22"/>
          <w:lang w:eastAsia="en-US"/>
        </w:rPr>
        <w:t>z prostriedkov mechanizmu Plánu obnovy a odolnosti v rámci výzvy „</w:t>
      </w:r>
      <w:r w:rsidR="006029D7">
        <w:rPr>
          <w:rFonts w:ascii="Times New Roman" w:hAnsi="Times New Roman"/>
          <w:b/>
          <w:szCs w:val="22"/>
          <w:lang w:eastAsia="en-US"/>
        </w:rPr>
        <w:t>Nová sieť nemocníc – zlepšenie kvality a efektívnosti ústavnej zdravotnej starostlivosti – doplnenie prístrojového vybavenia nemocníc</w:t>
      </w:r>
      <w:r w:rsidR="00DB23A7" w:rsidRPr="00DB23A7">
        <w:rPr>
          <w:rFonts w:ascii="Times New Roman" w:hAnsi="Times New Roman"/>
          <w:b/>
          <w:szCs w:val="22"/>
          <w:lang w:eastAsia="en-US"/>
        </w:rPr>
        <w:t>“</w:t>
      </w:r>
      <w:r w:rsidR="006029D7">
        <w:rPr>
          <w:rFonts w:ascii="Times New Roman" w:hAnsi="Times New Roman"/>
          <w:b/>
          <w:szCs w:val="22"/>
          <w:lang w:eastAsia="en-US"/>
        </w:rPr>
        <w:t xml:space="preserve"> kód výzvy 11I02-21-V11</w:t>
      </w:r>
      <w:r w:rsidR="00DB23A7" w:rsidRPr="00DB23A7">
        <w:rPr>
          <w:rFonts w:ascii="Times New Roman" w:hAnsi="Times New Roman"/>
          <w:b/>
          <w:szCs w:val="22"/>
          <w:lang w:eastAsia="en-US"/>
        </w:rPr>
        <w:t>, ktorými je táto zmluva limitovaná.</w:t>
      </w:r>
    </w:p>
    <w:p w14:paraId="5FDF5D91" w14:textId="77777777" w:rsidR="00DB23A7" w:rsidRDefault="00DB23A7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</w:p>
    <w:p w14:paraId="7E290BF9" w14:textId="3E3FCC8B" w:rsidR="008B04CE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Podkladom na uzavretie zmluvy je ponuka úspešného uchádzača predložená v postupe zadávania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nadlimitnej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verejnej súťaže na dodanie tovaru pod názvom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„</w:t>
      </w:r>
      <w:r w:rsidR="001D2DD9" w:rsidRPr="001D2DD9">
        <w:rPr>
          <w:rFonts w:ascii="Times New Roman" w:eastAsia="Calibri" w:hAnsi="Times New Roman"/>
          <w:b/>
          <w:noProof w:val="0"/>
          <w:szCs w:val="22"/>
          <w:lang w:eastAsia="en-US"/>
        </w:rPr>
        <w:t>USG prístroj pre Urologické oddelenie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“,  zadávanej na základe </w:t>
      </w:r>
      <w:bookmarkEnd w:id="0"/>
      <w:r w:rsidR="003E0C2F"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Oznámenia o vyhlásení verejného obstarávania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065504BF" w14:textId="77777777" w:rsidR="008B04CE" w:rsidRDefault="008B04CE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463AC84" w14:textId="07BD5AE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64F988D1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1D2DD9" w:rsidRPr="00391A6E">
        <w:rPr>
          <w:rFonts w:ascii="Times New Roman" w:eastAsia="Calibri" w:hAnsi="Times New Roman"/>
          <w:noProof w:val="0"/>
          <w:szCs w:val="22"/>
          <w:lang w:eastAsia="en-US"/>
        </w:rPr>
        <w:t>USG prístroj pre Urologické oddelenie</w:t>
      </w:r>
      <w:r w:rsidR="003E0C2F" w:rsidRPr="00391A6E">
        <w:rPr>
          <w:rFonts w:ascii="Times New Roman" w:eastAsia="Calibri" w:hAnsi="Times New Roman"/>
          <w:noProof w:val="0"/>
          <w:szCs w:val="22"/>
          <w:lang w:eastAsia="en-US"/>
        </w:rPr>
        <w:t xml:space="preserve"> – 1 ks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264DC782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</w:t>
      </w:r>
      <w:r w:rsidR="008947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25534D" w14:textId="5AF98F75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015738" w14:textId="557BBF68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477DD609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D2034A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D2034A" w:rsidRPr="00D2034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3E0C2F" w:rsidRPr="00D2034A">
        <w:rPr>
          <w:rFonts w:ascii="Times New Roman" w:eastAsia="Calibri" w:hAnsi="Times New Roman"/>
          <w:noProof w:val="0"/>
          <w:szCs w:val="22"/>
          <w:lang w:eastAsia="en-US"/>
        </w:rPr>
        <w:t xml:space="preserve">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</w:t>
      </w:r>
      <w:r w:rsidR="00246798">
        <w:rPr>
          <w:rFonts w:ascii="Times New Roman" w:eastAsia="Calibri" w:hAnsi="Times New Roman"/>
          <w:noProof w:val="0"/>
          <w:szCs w:val="22"/>
          <w:lang w:eastAsia="en-US"/>
        </w:rPr>
        <w:t xml:space="preserve"> kupujúceho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6903FEF5" w:rsidR="006201D3" w:rsidRPr="003E0C2F" w:rsidRDefault="003E0C2F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3E0C2F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Pr="003E0C2F">
        <w:rPr>
          <w:rFonts w:ascii="Times New Roman" w:eastAsia="Calibri" w:hAnsi="Times New Roman"/>
          <w:noProof w:val="0"/>
          <w:szCs w:val="22"/>
          <w:lang w:eastAsia="en-US"/>
        </w:rPr>
        <w:t>Oddelenie centrálneho nákupu a verejného obstarávania</w:t>
      </w:r>
    </w:p>
    <w:p w14:paraId="30D0A444" w14:textId="50C795B7" w:rsidR="006201D3" w:rsidRPr="003E0C2F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i/>
          <w:iCs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</w:t>
      </w:r>
      <w:r w:rsidR="003E0C2F" w:rsidRPr="003E0C2F">
        <w:rPr>
          <w:rFonts w:ascii="Times New Roman" w:eastAsia="Calibri" w:hAnsi="Times New Roman"/>
          <w:noProof w:val="0"/>
          <w:szCs w:val="22"/>
          <w:lang w:eastAsia="en-US"/>
        </w:rPr>
        <w:t>032/ 65 66 838</w:t>
      </w:r>
      <w:r w:rsidR="00226451" w:rsidRPr="003E0C2F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3E0C2F">
        <w:rPr>
          <w:rFonts w:ascii="Times New Roman" w:eastAsia="Calibri" w:hAnsi="Times New Roman"/>
          <w:noProof w:val="0"/>
          <w:szCs w:val="22"/>
          <w:lang w:eastAsia="en-US"/>
        </w:rPr>
        <w:t>e-mail:</w:t>
      </w:r>
      <w:r w:rsidR="003E0C2F">
        <w:rPr>
          <w:rFonts w:ascii="Times New Roman" w:eastAsia="Calibri" w:hAnsi="Times New Roman"/>
          <w:noProof w:val="0"/>
          <w:szCs w:val="22"/>
          <w:lang w:eastAsia="en-US"/>
        </w:rPr>
        <w:t xml:space="preserve"> michal.plesnik@fntn.sk</w:t>
      </w:r>
    </w:p>
    <w:p w14:paraId="4F3A8870" w14:textId="77777777" w:rsidR="006201D3" w:rsidRPr="003E0C2F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i/>
          <w:iCs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i/>
          <w:iCs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4043EC60" w14:textId="0F8CBF8A" w:rsidR="00D2034A" w:rsidRDefault="00D2034A" w:rsidP="00D2034A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shd w:val="clear" w:color="auto" w:fill="FFFFFF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ab/>
      </w:r>
      <w:r w:rsidRPr="00D2034A">
        <w:rPr>
          <w:rFonts w:ascii="Times New Roman" w:eastAsia="Calibri" w:hAnsi="Times New Roman"/>
          <w:szCs w:val="22"/>
          <w:shd w:val="clear" w:color="auto" w:fill="FFFFFF"/>
        </w:rPr>
        <w:t>Ing. Magdaléna Bačo Matejková, biomedicínsk</w:t>
      </w:r>
      <w:r>
        <w:rPr>
          <w:rFonts w:ascii="Times New Roman" w:eastAsia="Calibri" w:hAnsi="Times New Roman"/>
          <w:szCs w:val="22"/>
          <w:shd w:val="clear" w:color="auto" w:fill="FFFFFF"/>
        </w:rPr>
        <w:t>a</w:t>
      </w:r>
      <w:r w:rsidRPr="00D2034A">
        <w:rPr>
          <w:rFonts w:ascii="Times New Roman" w:eastAsia="Calibri" w:hAnsi="Times New Roman"/>
          <w:szCs w:val="22"/>
          <w:shd w:val="clear" w:color="auto" w:fill="FFFFFF"/>
        </w:rPr>
        <w:t xml:space="preserve"> inžinier</w:t>
      </w:r>
      <w:r>
        <w:rPr>
          <w:rFonts w:ascii="Times New Roman" w:eastAsia="Calibri" w:hAnsi="Times New Roman"/>
          <w:szCs w:val="22"/>
          <w:shd w:val="clear" w:color="auto" w:fill="FFFFFF"/>
        </w:rPr>
        <w:t>ka</w:t>
      </w:r>
    </w:p>
    <w:p w14:paraId="05A8F77B" w14:textId="08CFED07" w:rsidR="00D2034A" w:rsidRPr="00D2034A" w:rsidRDefault="00D2034A" w:rsidP="00D2034A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shd w:val="clear" w:color="auto" w:fill="FFFFFF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ab/>
      </w:r>
      <w:r w:rsidRPr="00D2034A">
        <w:rPr>
          <w:rFonts w:ascii="Times New Roman" w:eastAsia="Calibri" w:hAnsi="Times New Roman"/>
          <w:szCs w:val="22"/>
          <w:shd w:val="clear" w:color="auto" w:fill="FFFFFF"/>
        </w:rPr>
        <w:t>tel.: +421 32 6566838,</w:t>
      </w:r>
      <w:r w:rsidRPr="00A30814">
        <w:t xml:space="preserve"> </w:t>
      </w:r>
      <w:r w:rsidRPr="00D2034A">
        <w:rPr>
          <w:rFonts w:ascii="Times New Roman" w:eastAsia="Calibri" w:hAnsi="Times New Roman"/>
          <w:szCs w:val="22"/>
          <w:shd w:val="clear" w:color="auto" w:fill="FFFFFF"/>
        </w:rPr>
        <w:t xml:space="preserve">+421 905 651 534, e-mail: </w:t>
      </w:r>
      <w:hyperlink r:id="rId8" w:history="1">
        <w:r w:rsidRPr="00D2034A">
          <w:rPr>
            <w:rStyle w:val="Hypertextovprepojenie"/>
            <w:rFonts w:ascii="Times New Roman" w:eastAsia="Calibri" w:hAnsi="Times New Roman"/>
            <w:szCs w:val="22"/>
            <w:shd w:val="clear" w:color="auto" w:fill="FFFFFF"/>
          </w:rPr>
          <w:t>magdalena.matejkova@fntn.sk</w:t>
        </w:r>
      </w:hyperlink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10EB9F2B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4E27DC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o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povinný pri dodávke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reklamovať zjavnú vadu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bezodkladne, najneskôr však do </w:t>
      </w:r>
      <w:r w:rsidR="001E53F8" w:rsidRPr="004E27DC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Pr="00894776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573C85A3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 xml:space="preserve">nový, </w:t>
      </w:r>
      <w:r w:rsidR="00683207">
        <w:rPr>
          <w:rFonts w:ascii="Times New Roman" w:eastAsia="Calibri" w:hAnsi="Times New Roman"/>
          <w:noProof w:val="0"/>
          <w:szCs w:val="22"/>
          <w:lang w:eastAsia="en-US"/>
        </w:rPr>
        <w:t xml:space="preserve">nepoužitý, nerepasovaný,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bez 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203E031A" w14:textId="5515E755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Sadzba DPH vo výške 20%: 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0609CF2C" w14:textId="446DC227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s 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................................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(slovom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2C76A9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3B33D" w14:textId="4F525D71" w:rsidR="00CF48EE" w:rsidRDefault="00CF48EE" w:rsidP="00A711C4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 w:rsidRPr="00F80F66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5B7D388F" w14:textId="77777777" w:rsidR="00F80F66" w:rsidRPr="00F80F66" w:rsidRDefault="00F80F66" w:rsidP="00F80F6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336327" w14:textId="430E7BC9" w:rsidR="00896ABA" w:rsidRPr="00B1725C" w:rsidRDefault="00AE4182" w:rsidP="00B1725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ovar bude uhradená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z Prostriedkov mechanizmu Plánu Obnovy a Odolnosti v rámci projektu „Obnova materiálno-technického vybavenia pre vykonávanie štandardných postupov“ kód výzvy 12R03-21-V14 a projektu „Nákup prístrojov pre psychiatrickú kliniku Fakultnej nemocnice Trenčín“.</w:t>
      </w:r>
    </w:p>
    <w:p w14:paraId="7DEBEE6A" w14:textId="77777777" w:rsidR="0077442C" w:rsidRPr="00896ABA" w:rsidRDefault="0077442C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BE4ACC" w14:textId="09AC6712" w:rsidR="0077442C" w:rsidRPr="00B1725C" w:rsidRDefault="00896ABA" w:rsidP="0077442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lastRenderedPageBreak/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mechanizmu z Plánu Obnovy a Odolnosti z výzvy  „Obnova materiálno-technického vybavenia pre vykonávanie štandardných postupov“ kód výzvy 12R03-21-V14 a projektu „Nákup prístrojov pre psychiatrickú kliniku Fakultnej nemocnice Trenčín“</w:t>
      </w:r>
      <w:r w:rsidR="00B1725C" w:rsidRPr="00B1725C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oprávnenou osobou, kupujúci je oprávnený odstúpiť od kúpnej zmluvy a zmluvné strany sú povinné si bezodkladne vrátiť dovtedy poskytnuté vzájomné plnenie.</w:t>
      </w: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lebo zabezpečiť opravu vadného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t.j.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FB73AF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 w:rsidRPr="00FB73AF">
        <w:rPr>
          <w:highlight w:val="yellow"/>
        </w:rPr>
        <w:t>...................................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3E659E7E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vadným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B29737" w14:textId="11FF85BD" w:rsidR="009D6DDA" w:rsidRDefault="00AC1A9A" w:rsidP="00191B32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94E76"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 w:rsidRPr="00F94E76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 a nasledujúcimi ustanoveniami Obchodného zákonníka v znení neskorších predpisov.</w:t>
      </w:r>
      <w:r w:rsidR="00C935B9" w:rsidRPr="00F94E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76B6D4" w14:textId="77777777" w:rsidR="00F94E76" w:rsidRPr="00F94E76" w:rsidRDefault="00F94E76" w:rsidP="00F94E76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1445B0E9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406C3D5" w14:textId="46502DA5" w:rsidR="00524FD8" w:rsidRPr="004005C4" w:rsidRDefault="00524FD8" w:rsidP="004005C4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umožniť výkon kontroly súvisiaci s predmetom plnenia tejto zmluvy, ako aj s ostatnými ustanoveniami tejto zmluvy zo strany osôb oprávnených na výkon kontroly,  kedykoľvek po uzavretí tejto zmluvy a počas platnosti a účinnosti </w:t>
      </w:r>
      <w:r w:rsidR="004005C4" w:rsidRPr="004005C4">
        <w:rPr>
          <w:rFonts w:ascii="Times New Roman" w:eastAsia="Calibri" w:hAnsi="Times New Roman"/>
          <w:noProof w:val="0"/>
          <w:szCs w:val="22"/>
          <w:lang w:eastAsia="en-US"/>
        </w:rPr>
        <w:t xml:space="preserve">Zmluvy o poskytnutí prostriedkov mechanizmu na podporu Obnovy a Odolnosti č. </w:t>
      </w:r>
      <w:r w:rsidR="00304518">
        <w:rPr>
          <w:rFonts w:ascii="Times New Roman" w:eastAsia="Calibri" w:hAnsi="Times New Roman"/>
          <w:noProof w:val="0"/>
          <w:szCs w:val="22"/>
          <w:lang w:eastAsia="en-US"/>
        </w:rPr>
        <w:t>808/2023</w:t>
      </w:r>
      <w:r w:rsidR="004005C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4005C4" w:rsidRPr="004005C4">
        <w:rPr>
          <w:rFonts w:ascii="Times New Roman" w:eastAsia="Calibri" w:hAnsi="Times New Roman"/>
          <w:noProof w:val="0"/>
          <w:szCs w:val="22"/>
          <w:lang w:eastAsia="en-US"/>
        </w:rPr>
        <w:t xml:space="preserve">uzavretej medzi poskytovateľom prostriedkov mechanizmu a kupujúcim dňa </w:t>
      </w:r>
      <w:r w:rsidR="00304518">
        <w:rPr>
          <w:rFonts w:ascii="Times New Roman" w:eastAsia="Calibri" w:hAnsi="Times New Roman"/>
          <w:noProof w:val="0"/>
          <w:szCs w:val="22"/>
          <w:lang w:eastAsia="en-US"/>
        </w:rPr>
        <w:t>6.9.2023</w:t>
      </w:r>
      <w:r w:rsidRPr="004005C4">
        <w:rPr>
          <w:rFonts w:ascii="Times New Roman" w:eastAsia="Calibri" w:hAnsi="Times New Roman"/>
          <w:noProof w:val="0"/>
          <w:szCs w:val="22"/>
          <w:lang w:eastAsia="en-US"/>
        </w:rPr>
        <w:t>; oprávnenými osobami sú najmä:</w:t>
      </w:r>
    </w:p>
    <w:p w14:paraId="02939E05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Riadiaci orgán (poskytovateľ) a ním poverené osoby;</w:t>
      </w:r>
    </w:p>
    <w:p w14:paraId="7421DEE9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Najvyšší kontrolný úrad SR;</w:t>
      </w:r>
    </w:p>
    <w:p w14:paraId="52717A38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príslušná správa finančnej kontroly;</w:t>
      </w:r>
    </w:p>
    <w:p w14:paraId="666AA490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certifikačný orgán a nimi poverené osoby;</w:t>
      </w:r>
    </w:p>
    <w:p w14:paraId="24380992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orgán auditu, jeho spolupracujúce orgány a nimi poverené osoby;</w:t>
      </w:r>
    </w:p>
    <w:p w14:paraId="14D3F70A" w14:textId="77777777" w:rsidR="00524FD8" w:rsidRPr="006C0CCF" w:rsidRDefault="00524FD8" w:rsidP="00524FD8">
      <w:pPr>
        <w:ind w:left="1413" w:hanging="4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splnomocnení zástupcovia Európskej Komisie a Európskeho dvora audítorov, osoby 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prizvané orgánmi, ktoré sú uvedené ako oprávnené osoby v súlade s príslušnými právnymi predpismi SR a EÚ.</w:t>
      </w:r>
    </w:p>
    <w:p w14:paraId="22B8FBAC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9BC270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poskytnúť osobám oprávneným na výkon kontroly špecifikovaným v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všetku potrebnú súčinnosť. V prípade, že v dôsledku kontroly vykonanej oprávneným orgánom, dôjde zavinením predávajúceho k uznaniu plnenia predmetu tejto zmluvy ako neoprávneného výdavku, t.j. výdavku, ktorý nezodpovedá cenám bežným na trhu v čase ich vzniku a v mieste ich vzniku, a ktorý preto nebude kupujúcemu uznaný ako oprávnený, je predávajúci povinný nahradiť kupujúcemu v plnom rozsahu škodu, ktorá mu v dôsledku tejto skutočnosti vznikne.</w:t>
      </w:r>
    </w:p>
    <w:p w14:paraId="4B7F0B11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3D876D9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bude rešpektovať právo osôb oprávnených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 vstupovať do objektov, ak to súvisí s predmetom tejto zmluvy a požadovať od predávajúceho predloženie originálnych dokladov a inú potrebnú dokumentáciu, alebo iné ďalšie doklady súvisiace s touto zmluvou.</w:t>
      </w:r>
    </w:p>
    <w:p w14:paraId="02543D59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C242FD" w14:textId="77777777" w:rsidR="00524FD8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za zaväzuje prijať opatrenia na nápravu nedostatkov zistených kontrolou, overovaním na mieste v zmysle Správy z kontroly, v lehote stanovenej osobami oprávnenými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a zároveň zaslať kupujúcemu informáciu o splnení opatrení prijatých na nápravu zistených nedostatkov bezodkladne po ich splnení.“</w:t>
      </w:r>
    </w:p>
    <w:p w14:paraId="0CD74A40" w14:textId="77777777" w:rsidR="001F0F1F" w:rsidRPr="0076657E" w:rsidRDefault="001F0F1F" w:rsidP="0076657E">
      <w:pPr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lastRenderedPageBreak/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6CA9018A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90B722A" w14:textId="5788A7C6" w:rsidR="00FE472E" w:rsidRPr="00FE472E" w:rsidRDefault="00FE472E" w:rsidP="00FE472E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bCs/>
          <w:noProof w:val="0"/>
          <w:szCs w:val="22"/>
          <w:lang w:eastAsia="en-US"/>
        </w:rPr>
      </w:pPr>
      <w:r w:rsidRPr="00FE472E">
        <w:rPr>
          <w:rFonts w:ascii="Times New Roman" w:eastAsia="Calibri" w:hAnsi="Times New Roman"/>
          <w:bCs/>
          <w:noProof w:val="0"/>
          <w:szCs w:val="22"/>
          <w:lang w:eastAsia="en-US"/>
        </w:rPr>
        <w:t>Zmluva je platná dňom jej uzatvorenia, t. j. jej podpisom všetkými zmluvnými stranami a účinná dňom nasledujúcim po dni jej zverejnenia v Centrálnom registri zmlúv, v súlade s § 47a ods. 1 zákona č. 40/1964 Zb., Občianskeho zákonníka, v znení neskorších predpisov.</w:t>
      </w:r>
    </w:p>
    <w:p w14:paraId="013E383E" w14:textId="77777777" w:rsidR="00FE472E" w:rsidRPr="00FE472E" w:rsidRDefault="00FE472E" w:rsidP="00FE472E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1824E5FE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A9801A3" w14:textId="77777777" w:rsidR="00BC04A3" w:rsidRDefault="00BC04A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9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4473"/>
      </w:tblGrid>
      <w:tr w:rsidR="00D64BD6" w:rsidRPr="006337D8" w14:paraId="75923305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BC04A3">
        <w:trPr>
          <w:trHeight w:val="442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BC04A3">
        <w:trPr>
          <w:trHeight w:val="385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7FC2C4E5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555519">
              <w:rPr>
                <w:b/>
                <w:color w:val="000000"/>
                <w:sz w:val="22"/>
                <w:szCs w:val="22"/>
              </w:rPr>
              <w:t>Ing. Michal Plesník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57262551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C04A3">
              <w:rPr>
                <w:rFonts w:ascii="Times New Roman" w:hAnsi="Times New Roman" w:cs="Times New Roman"/>
              </w:rPr>
              <w:t xml:space="preserve">    F</w:t>
            </w:r>
            <w:r w:rsidR="00D64BD6">
              <w:rPr>
                <w:rFonts w:ascii="Times New Roman" w:hAnsi="Times New Roman" w:cs="Times New Roman"/>
              </w:rPr>
              <w:t>akultná nemocnica Trenčín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BC04A3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15A58" w14:textId="77777777" w:rsidR="00B462A5" w:rsidRDefault="00B462A5" w:rsidP="00A0694E">
      <w:r>
        <w:separator/>
      </w:r>
    </w:p>
  </w:endnote>
  <w:endnote w:type="continuationSeparator" w:id="0">
    <w:p w14:paraId="7ECA2C5A" w14:textId="77777777" w:rsidR="00B462A5" w:rsidRDefault="00B462A5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304518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71A7F" w14:textId="77777777" w:rsidR="00B462A5" w:rsidRDefault="00B462A5" w:rsidP="00A0694E">
      <w:r>
        <w:separator/>
      </w:r>
    </w:p>
  </w:footnote>
  <w:footnote w:type="continuationSeparator" w:id="0">
    <w:p w14:paraId="3D8E3B98" w14:textId="77777777" w:rsidR="00B462A5" w:rsidRDefault="00B462A5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30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189186">
    <w:abstractNumId w:val="21"/>
  </w:num>
  <w:num w:numId="3" w16cid:durableId="1245993168">
    <w:abstractNumId w:val="3"/>
  </w:num>
  <w:num w:numId="4" w16cid:durableId="1591622160">
    <w:abstractNumId w:val="19"/>
  </w:num>
  <w:num w:numId="5" w16cid:durableId="902834397">
    <w:abstractNumId w:val="22"/>
  </w:num>
  <w:num w:numId="6" w16cid:durableId="1911887124">
    <w:abstractNumId w:val="14"/>
  </w:num>
  <w:num w:numId="7" w16cid:durableId="1601834466">
    <w:abstractNumId w:val="12"/>
  </w:num>
  <w:num w:numId="8" w16cid:durableId="1242834536">
    <w:abstractNumId w:val="20"/>
  </w:num>
  <w:num w:numId="9" w16cid:durableId="1012340871">
    <w:abstractNumId w:val="23"/>
  </w:num>
  <w:num w:numId="10" w16cid:durableId="552273050">
    <w:abstractNumId w:val="8"/>
  </w:num>
  <w:num w:numId="11" w16cid:durableId="998461334">
    <w:abstractNumId w:val="26"/>
  </w:num>
  <w:num w:numId="12" w16cid:durableId="759644787">
    <w:abstractNumId w:val="13"/>
  </w:num>
  <w:num w:numId="13" w16cid:durableId="1524587852">
    <w:abstractNumId w:val="6"/>
  </w:num>
  <w:num w:numId="14" w16cid:durableId="163277406">
    <w:abstractNumId w:val="11"/>
  </w:num>
  <w:num w:numId="15" w16cid:durableId="2119443435">
    <w:abstractNumId w:val="5"/>
  </w:num>
  <w:num w:numId="16" w16cid:durableId="16620764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03574">
    <w:abstractNumId w:val="27"/>
  </w:num>
  <w:num w:numId="18" w16cid:durableId="864362741">
    <w:abstractNumId w:val="28"/>
  </w:num>
  <w:num w:numId="19" w16cid:durableId="1719624226">
    <w:abstractNumId w:val="9"/>
  </w:num>
  <w:num w:numId="20" w16cid:durableId="1619264919">
    <w:abstractNumId w:val="16"/>
  </w:num>
  <w:num w:numId="21" w16cid:durableId="1751460242">
    <w:abstractNumId w:val="25"/>
  </w:num>
  <w:num w:numId="22" w16cid:durableId="148980233">
    <w:abstractNumId w:val="4"/>
  </w:num>
  <w:num w:numId="23" w16cid:durableId="1061635452">
    <w:abstractNumId w:val="24"/>
  </w:num>
  <w:num w:numId="24" w16cid:durableId="1616398933">
    <w:abstractNumId w:val="2"/>
  </w:num>
  <w:num w:numId="25" w16cid:durableId="109865648">
    <w:abstractNumId w:val="7"/>
  </w:num>
  <w:num w:numId="26" w16cid:durableId="6256143">
    <w:abstractNumId w:val="10"/>
  </w:num>
  <w:num w:numId="27" w16cid:durableId="1363441203">
    <w:abstractNumId w:val="15"/>
  </w:num>
  <w:num w:numId="28" w16cid:durableId="96487104">
    <w:abstractNumId w:val="30"/>
  </w:num>
  <w:num w:numId="29" w16cid:durableId="1050034954">
    <w:abstractNumId w:val="29"/>
  </w:num>
  <w:num w:numId="30" w16cid:durableId="90684357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24FDF"/>
    <w:rsid w:val="00031C1E"/>
    <w:rsid w:val="00041936"/>
    <w:rsid w:val="0004764B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B39D7"/>
    <w:rsid w:val="001C20F3"/>
    <w:rsid w:val="001D2DD9"/>
    <w:rsid w:val="001D740F"/>
    <w:rsid w:val="001E0AED"/>
    <w:rsid w:val="001E53F8"/>
    <w:rsid w:val="001F0F1F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46798"/>
    <w:rsid w:val="00246E8E"/>
    <w:rsid w:val="00261ACF"/>
    <w:rsid w:val="00270767"/>
    <w:rsid w:val="002778BC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04518"/>
    <w:rsid w:val="00326164"/>
    <w:rsid w:val="0033098E"/>
    <w:rsid w:val="003322E5"/>
    <w:rsid w:val="0034457A"/>
    <w:rsid w:val="003457A7"/>
    <w:rsid w:val="0035314E"/>
    <w:rsid w:val="0035489A"/>
    <w:rsid w:val="00371269"/>
    <w:rsid w:val="003809D7"/>
    <w:rsid w:val="003870C5"/>
    <w:rsid w:val="003877F2"/>
    <w:rsid w:val="00391A6E"/>
    <w:rsid w:val="0039399C"/>
    <w:rsid w:val="003A4EF8"/>
    <w:rsid w:val="003E0C2F"/>
    <w:rsid w:val="003E7708"/>
    <w:rsid w:val="003F2041"/>
    <w:rsid w:val="003F3CD0"/>
    <w:rsid w:val="004005C4"/>
    <w:rsid w:val="004021E9"/>
    <w:rsid w:val="0041304D"/>
    <w:rsid w:val="00462E04"/>
    <w:rsid w:val="00497B0F"/>
    <w:rsid w:val="004A330E"/>
    <w:rsid w:val="004A3A01"/>
    <w:rsid w:val="004B3E32"/>
    <w:rsid w:val="004E27DC"/>
    <w:rsid w:val="004E380B"/>
    <w:rsid w:val="004E3CD7"/>
    <w:rsid w:val="004E4395"/>
    <w:rsid w:val="004E569B"/>
    <w:rsid w:val="0050271C"/>
    <w:rsid w:val="00517204"/>
    <w:rsid w:val="00524FD8"/>
    <w:rsid w:val="00527695"/>
    <w:rsid w:val="005305BA"/>
    <w:rsid w:val="005310EE"/>
    <w:rsid w:val="00531D7D"/>
    <w:rsid w:val="005512C9"/>
    <w:rsid w:val="0055551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D5F67"/>
    <w:rsid w:val="005E565E"/>
    <w:rsid w:val="005F0C05"/>
    <w:rsid w:val="005F2668"/>
    <w:rsid w:val="005F2790"/>
    <w:rsid w:val="005F5913"/>
    <w:rsid w:val="006000AC"/>
    <w:rsid w:val="006029D7"/>
    <w:rsid w:val="006064E3"/>
    <w:rsid w:val="00614AB4"/>
    <w:rsid w:val="006201D3"/>
    <w:rsid w:val="00637723"/>
    <w:rsid w:val="00637734"/>
    <w:rsid w:val="00643177"/>
    <w:rsid w:val="00651247"/>
    <w:rsid w:val="006528BE"/>
    <w:rsid w:val="00671259"/>
    <w:rsid w:val="00674715"/>
    <w:rsid w:val="00677223"/>
    <w:rsid w:val="00683207"/>
    <w:rsid w:val="00693972"/>
    <w:rsid w:val="006A60CD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1530E"/>
    <w:rsid w:val="007227B1"/>
    <w:rsid w:val="007258C3"/>
    <w:rsid w:val="00754BDC"/>
    <w:rsid w:val="00766547"/>
    <w:rsid w:val="0076657E"/>
    <w:rsid w:val="00766AEF"/>
    <w:rsid w:val="0077245D"/>
    <w:rsid w:val="0077442C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1D8F"/>
    <w:rsid w:val="00847AD1"/>
    <w:rsid w:val="0086272F"/>
    <w:rsid w:val="00891CB6"/>
    <w:rsid w:val="0089409A"/>
    <w:rsid w:val="00894776"/>
    <w:rsid w:val="00894F4E"/>
    <w:rsid w:val="00896ABA"/>
    <w:rsid w:val="008A41AB"/>
    <w:rsid w:val="008A63CF"/>
    <w:rsid w:val="008B04CE"/>
    <w:rsid w:val="008B0A4E"/>
    <w:rsid w:val="008B2D03"/>
    <w:rsid w:val="008D667F"/>
    <w:rsid w:val="008D6A8E"/>
    <w:rsid w:val="008D7333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9F7D34"/>
    <w:rsid w:val="00A0694E"/>
    <w:rsid w:val="00A13C4D"/>
    <w:rsid w:val="00A16196"/>
    <w:rsid w:val="00A1757D"/>
    <w:rsid w:val="00A21755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B02B6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1725C"/>
    <w:rsid w:val="00B25BD2"/>
    <w:rsid w:val="00B26FE3"/>
    <w:rsid w:val="00B30023"/>
    <w:rsid w:val="00B350A2"/>
    <w:rsid w:val="00B45BA0"/>
    <w:rsid w:val="00B462A5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04A3"/>
    <w:rsid w:val="00BC1D31"/>
    <w:rsid w:val="00BD0495"/>
    <w:rsid w:val="00BD3D83"/>
    <w:rsid w:val="00BD74FB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D6220"/>
    <w:rsid w:val="00CF2C65"/>
    <w:rsid w:val="00CF3750"/>
    <w:rsid w:val="00CF48EE"/>
    <w:rsid w:val="00CF6C32"/>
    <w:rsid w:val="00D152E5"/>
    <w:rsid w:val="00D1643A"/>
    <w:rsid w:val="00D2034A"/>
    <w:rsid w:val="00D27404"/>
    <w:rsid w:val="00D30628"/>
    <w:rsid w:val="00D32F3D"/>
    <w:rsid w:val="00D3507A"/>
    <w:rsid w:val="00D4099A"/>
    <w:rsid w:val="00D53F1D"/>
    <w:rsid w:val="00D56144"/>
    <w:rsid w:val="00D57E84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B23A7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524D2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334D"/>
    <w:rsid w:val="00F64C3A"/>
    <w:rsid w:val="00F80F66"/>
    <w:rsid w:val="00F94E76"/>
    <w:rsid w:val="00FA31AD"/>
    <w:rsid w:val="00FB2318"/>
    <w:rsid w:val="00FB73AF"/>
    <w:rsid w:val="00FC2D99"/>
    <w:rsid w:val="00FC45A5"/>
    <w:rsid w:val="00FD0C09"/>
    <w:rsid w:val="00FD15F6"/>
    <w:rsid w:val="00FE0B45"/>
    <w:rsid w:val="00FE472E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A7C359A8-53F2-41F2-957D-249D8323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matejkova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9804-962E-449F-85DB-2EA18259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4710</Words>
  <Characters>26847</Characters>
  <Application>Microsoft Office Word</Application>
  <DocSecurity>0</DocSecurity>
  <Lines>223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7</cp:revision>
  <cp:lastPrinted>2021-01-12T09:53:00Z</cp:lastPrinted>
  <dcterms:created xsi:type="dcterms:W3CDTF">2023-11-29T07:51:00Z</dcterms:created>
  <dcterms:modified xsi:type="dcterms:W3CDTF">2024-09-06T07:07:00Z</dcterms:modified>
</cp:coreProperties>
</file>