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53CE" w14:textId="718889B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1E18823C" w14:textId="77777777" w:rsidR="003E3DEF" w:rsidRPr="00AF3241" w:rsidRDefault="003E3DEF" w:rsidP="00570382">
      <w:pPr>
        <w:spacing w:after="0" w:line="240" w:lineRule="auto"/>
        <w:jc w:val="center"/>
        <w:rPr>
          <w:rFonts w:ascii="Arial Narrow" w:hAnsi="Arial Narrow" w:cs="Times New Roman"/>
          <w:b/>
          <w:bCs/>
        </w:rPr>
      </w:pPr>
    </w:p>
    <w:p w14:paraId="21B16AAE" w14:textId="34EFE09C" w:rsidR="003E3DEF" w:rsidRPr="00AF3241" w:rsidRDefault="003E3DEF" w:rsidP="003E3DEF">
      <w:pPr>
        <w:spacing w:after="0" w:line="240" w:lineRule="auto"/>
        <w:jc w:val="center"/>
        <w:rPr>
          <w:rFonts w:ascii="Arial Narrow" w:hAnsi="Arial Narrow" w:cs="Times New Roman"/>
        </w:rPr>
      </w:pPr>
      <w:r>
        <w:rPr>
          <w:rFonts w:ascii="Arial Narrow" w:hAnsi="Arial Narrow" w:cs="Times New Roman"/>
        </w:rPr>
        <w:t>uzatvorená</w:t>
      </w:r>
      <w:r w:rsidRPr="00AF3241">
        <w:rPr>
          <w:rFonts w:ascii="Arial Narrow" w:hAnsi="Arial Narrow" w:cs="Times New Roman"/>
        </w:rPr>
        <w:t xml:space="preserve"> podľa § 269 ods. 2 zákona č. 513/1991 Zb. Obchodný zákonník v znení neskorších predpisov (ďalej ako „</w:t>
      </w:r>
      <w:r w:rsidRPr="00AF3241">
        <w:rPr>
          <w:rFonts w:ascii="Arial Narrow" w:hAnsi="Arial Narrow" w:cs="Times New Roman"/>
          <w:b/>
          <w:bCs/>
        </w:rPr>
        <w:t>Zmluva</w:t>
      </w:r>
      <w:r w:rsidRPr="00AF3241">
        <w:rPr>
          <w:rFonts w:ascii="Arial Narrow" w:hAnsi="Arial Narrow" w:cs="Times New Roman"/>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196F467A" w14:textId="3973C314" w:rsidR="00D0367B" w:rsidRPr="00AF3241" w:rsidRDefault="00CD464D" w:rsidP="00570382">
      <w:pPr>
        <w:spacing w:after="0" w:line="240" w:lineRule="auto"/>
        <w:contextualSpacing/>
        <w:jc w:val="both"/>
        <w:rPr>
          <w:rFonts w:ascii="Arial Narrow" w:hAnsi="Arial Narrow" w:cs="Times New Roman"/>
          <w:b/>
        </w:rPr>
      </w:pPr>
      <w:r w:rsidRPr="00AF3241">
        <w:rPr>
          <w:rFonts w:ascii="Arial Narrow" w:hAnsi="Arial Narrow" w:cs="Times New Roman"/>
          <w:b/>
          <w:bCs/>
        </w:rPr>
        <w:t>Slovenská republika zastúpená</w:t>
      </w:r>
      <w:r w:rsidR="006D76E7" w:rsidRPr="00AF3241">
        <w:rPr>
          <w:rFonts w:ascii="Arial Narrow" w:hAnsi="Arial Narrow" w:cs="Times New Roman"/>
          <w:b/>
          <w:bCs/>
        </w:rPr>
        <w:t xml:space="preserve"> </w:t>
      </w:r>
      <w:r w:rsidRPr="00AF3241">
        <w:rPr>
          <w:rFonts w:ascii="Arial Narrow" w:hAnsi="Arial Narrow" w:cs="Times New Roman"/>
          <w:b/>
        </w:rPr>
        <w:t>Ministerstvom vnútra Slovenskej republiky</w:t>
      </w:r>
    </w:p>
    <w:p w14:paraId="62CCA313" w14:textId="166290AA" w:rsidR="00CD464D" w:rsidRPr="00AF3241" w:rsidRDefault="00CD464D" w:rsidP="00570382">
      <w:pPr>
        <w:spacing w:after="0" w:line="240" w:lineRule="auto"/>
        <w:rPr>
          <w:rFonts w:ascii="Arial Narrow" w:hAnsi="Arial Narrow" w:cs="Times New Roman"/>
        </w:rPr>
      </w:pPr>
      <w:r w:rsidRPr="00AF3241">
        <w:rPr>
          <w:rFonts w:ascii="Arial Narrow" w:hAnsi="Arial Narrow" w:cs="Times New Roman"/>
        </w:rPr>
        <w:t>Sídlo: Pribinova 2, 812 72 Bratislava – Staré Mesto, Slovenská republika</w:t>
      </w:r>
    </w:p>
    <w:p w14:paraId="6CE49AFB" w14:textId="2862D5B4" w:rsidR="00CD464D" w:rsidRPr="00AF3241" w:rsidRDefault="00CD464D" w:rsidP="00570382">
      <w:pPr>
        <w:spacing w:after="0" w:line="240" w:lineRule="auto"/>
        <w:rPr>
          <w:rFonts w:ascii="Arial Narrow" w:hAnsi="Arial Narrow" w:cs="Times New Roman"/>
        </w:rPr>
      </w:pPr>
      <w:r w:rsidRPr="00AF3241">
        <w:rPr>
          <w:rFonts w:ascii="Arial Narrow" w:hAnsi="Arial Narrow" w:cs="Times New Roman"/>
        </w:rPr>
        <w:t>Identifikačné číslo: 00151866</w:t>
      </w:r>
    </w:p>
    <w:p w14:paraId="768EF193" w14:textId="2158918D" w:rsidR="006D76E7" w:rsidRDefault="006D76E7" w:rsidP="00570382">
      <w:pPr>
        <w:spacing w:after="0" w:line="240" w:lineRule="auto"/>
        <w:rPr>
          <w:rFonts w:ascii="Arial Narrow" w:hAnsi="Arial Narrow" w:cs="Times New Roman"/>
        </w:rPr>
      </w:pPr>
      <w:r w:rsidRPr="00AF3241">
        <w:rPr>
          <w:rFonts w:ascii="Arial Narrow" w:hAnsi="Arial Narrow" w:cs="Times New Roman"/>
        </w:rPr>
        <w:t>Zastúpená:</w:t>
      </w:r>
    </w:p>
    <w:p w14:paraId="5DD49D1F" w14:textId="409C925E" w:rsidR="0009510B" w:rsidRDefault="0009510B" w:rsidP="00570382">
      <w:pPr>
        <w:spacing w:after="0" w:line="240" w:lineRule="auto"/>
        <w:rPr>
          <w:rFonts w:ascii="Arial Narrow" w:hAnsi="Arial Narrow" w:cs="Times New Roman"/>
        </w:rPr>
      </w:pPr>
    </w:p>
    <w:p w14:paraId="51A7ED66" w14:textId="324B464F" w:rsidR="0009510B" w:rsidRDefault="0009510B" w:rsidP="00570382">
      <w:pPr>
        <w:spacing w:after="0" w:line="240" w:lineRule="auto"/>
        <w:rPr>
          <w:rFonts w:ascii="Arial Narrow" w:hAnsi="Arial Narrow" w:cs="Times New Roman"/>
        </w:rPr>
      </w:pPr>
    </w:p>
    <w:p w14:paraId="0CD51FE4" w14:textId="77777777" w:rsidR="0009510B" w:rsidRPr="00AF3241" w:rsidRDefault="0009510B" w:rsidP="00570382">
      <w:pPr>
        <w:spacing w:after="0" w:line="240" w:lineRule="auto"/>
        <w:rPr>
          <w:rFonts w:ascii="Arial Narrow" w:hAnsi="Arial Narrow" w:cs="Times New Roman"/>
        </w:rPr>
      </w:pPr>
    </w:p>
    <w:p w14:paraId="7073E9B7"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72AD1F19" w14:textId="29DA10EF" w:rsidR="006D76E7" w:rsidRPr="00AF3241" w:rsidRDefault="006D76E7" w:rsidP="00570382">
      <w:pPr>
        <w:spacing w:after="0" w:line="240" w:lineRule="auto"/>
        <w:rPr>
          <w:rFonts w:ascii="Arial Narrow" w:hAnsi="Arial Narrow" w:cs="Times New Roman"/>
        </w:rPr>
      </w:pPr>
    </w:p>
    <w:p w14:paraId="2DC8799E" w14:textId="2E0EE59A"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a</w:t>
      </w:r>
    </w:p>
    <w:p w14:paraId="7C451D96" w14:textId="0F0B0B15" w:rsidR="006D76E7" w:rsidRPr="00AF3241" w:rsidRDefault="006D76E7" w:rsidP="00570382">
      <w:pPr>
        <w:spacing w:after="0" w:line="240" w:lineRule="auto"/>
        <w:rPr>
          <w:rFonts w:ascii="Arial Narrow" w:hAnsi="Arial Narrow" w:cs="Times New Roman"/>
        </w:rPr>
      </w:pPr>
    </w:p>
    <w:p w14:paraId="35B4D243" w14:textId="2712D70A" w:rsidR="006D76E7" w:rsidRPr="00AF3241" w:rsidRDefault="006D76E7" w:rsidP="00570382">
      <w:pPr>
        <w:spacing w:after="0" w:line="240" w:lineRule="auto"/>
        <w:rPr>
          <w:rFonts w:ascii="Arial Narrow" w:hAnsi="Arial Narrow" w:cs="Times New Roman"/>
          <w:b/>
          <w:bCs/>
        </w:rPr>
      </w:pPr>
      <w:r w:rsidRPr="00AF3241">
        <w:rPr>
          <w:rFonts w:ascii="Arial Narrow" w:eastAsia="Arial Unicode MS" w:hAnsi="Arial Narrow" w:cs="Times New Roman"/>
          <w:b/>
          <w:bCs/>
          <w:highlight w:val="yellow"/>
        </w:rPr>
        <w:t>[ • ]</w:t>
      </w:r>
    </w:p>
    <w:p w14:paraId="229C9B93" w14:textId="6C581AA6"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 xml:space="preserve">Sídlo: </w:t>
      </w:r>
      <w:r w:rsidR="00784AFD" w:rsidRPr="00AF3241">
        <w:rPr>
          <w:rFonts w:ascii="Arial Narrow" w:eastAsia="Arial Unicode MS" w:hAnsi="Arial Narrow" w:cs="Times New Roman"/>
          <w:b/>
          <w:bCs/>
          <w:highlight w:val="yellow"/>
        </w:rPr>
        <w:t>[ • ]</w:t>
      </w:r>
    </w:p>
    <w:p w14:paraId="19C893E2" w14:textId="16ACB791"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784AFD" w:rsidRPr="00AF3241">
        <w:rPr>
          <w:rFonts w:ascii="Arial Narrow" w:eastAsia="Arial Unicode MS" w:hAnsi="Arial Narrow" w:cs="Times New Roman"/>
          <w:b/>
          <w:bCs/>
          <w:highlight w:val="yellow"/>
        </w:rPr>
        <w:t>[ • ]</w:t>
      </w:r>
    </w:p>
    <w:p w14:paraId="4D81CEE7" w14:textId="6735237A" w:rsidR="006D76E7" w:rsidRPr="00AF3241" w:rsidRDefault="006D76E7" w:rsidP="00570382">
      <w:pPr>
        <w:spacing w:after="0" w:line="240" w:lineRule="auto"/>
        <w:rPr>
          <w:rFonts w:ascii="Arial Narrow" w:eastAsia="Arial Unicode MS" w:hAnsi="Arial Narrow" w:cs="Times New Roman"/>
        </w:rPr>
      </w:pPr>
      <w:r w:rsidRPr="00AF3241">
        <w:rPr>
          <w:rFonts w:ascii="Arial Narrow" w:hAnsi="Arial Narrow" w:cs="Times New Roman"/>
        </w:rPr>
        <w:t xml:space="preserve">Obchodná spoločnosť zapísaná v Obchodnom registri Okresného súdu </w:t>
      </w:r>
      <w:r w:rsidRPr="00AF3241">
        <w:rPr>
          <w:rFonts w:ascii="Arial Narrow" w:eastAsia="Arial Unicode MS" w:hAnsi="Arial Narrow" w:cs="Times New Roman"/>
          <w:highlight w:val="yellow"/>
        </w:rPr>
        <w:t>[ • ]</w:t>
      </w:r>
      <w:r w:rsidRPr="00AF3241">
        <w:rPr>
          <w:rFonts w:ascii="Arial Narrow" w:eastAsia="Arial Unicode MS" w:hAnsi="Arial Narrow" w:cs="Times New Roman"/>
        </w:rPr>
        <w:t xml:space="preserve">, Oddiel: </w:t>
      </w:r>
      <w:r w:rsidRPr="00AF3241">
        <w:rPr>
          <w:rFonts w:ascii="Arial Narrow" w:eastAsia="Arial Unicode MS" w:hAnsi="Arial Narrow" w:cs="Times New Roman"/>
          <w:highlight w:val="yellow"/>
        </w:rPr>
        <w:t>[ • ]</w:t>
      </w:r>
      <w:r w:rsidRPr="00AF3241">
        <w:rPr>
          <w:rFonts w:ascii="Arial Narrow" w:eastAsia="Arial Unicode MS" w:hAnsi="Arial Narrow" w:cs="Times New Roman"/>
        </w:rPr>
        <w:t xml:space="preserve">, Vložka č.: </w:t>
      </w:r>
      <w:r w:rsidRPr="00AF3241">
        <w:rPr>
          <w:rFonts w:ascii="Arial Narrow" w:eastAsia="Arial Unicode MS" w:hAnsi="Arial Narrow" w:cs="Times New Roman"/>
          <w:highlight w:val="yellow"/>
        </w:rPr>
        <w:t>[ • ]</w:t>
      </w:r>
    </w:p>
    <w:p w14:paraId="4E205079" w14:textId="797EB67C"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Zastúpená:</w:t>
      </w:r>
    </w:p>
    <w:p w14:paraId="5086032D" w14:textId="7D098088"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 xml:space="preserve">Povolenie na podnikanie v elektroenergetike č.: </w:t>
      </w:r>
      <w:r w:rsidRPr="00AF3241">
        <w:rPr>
          <w:rFonts w:ascii="Arial Narrow" w:eastAsia="Arial Unicode MS" w:hAnsi="Arial Narrow" w:cs="Times New Roman"/>
          <w:highlight w:val="yellow"/>
        </w:rPr>
        <w:t>[ • ]</w:t>
      </w:r>
    </w:p>
    <w:p w14:paraId="30B2C0BF" w14:textId="7C9EDB41" w:rsidR="006D76E7" w:rsidRDefault="006D76E7" w:rsidP="00570382">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Poskytovateľ</w:t>
      </w:r>
      <w:r w:rsidRPr="00AF3241">
        <w:rPr>
          <w:rFonts w:ascii="Arial Narrow" w:hAnsi="Arial Narrow" w:cs="Times New Roman"/>
        </w:rPr>
        <w:t>“)</w:t>
      </w:r>
    </w:p>
    <w:p w14:paraId="754E47F1" w14:textId="77777777" w:rsidR="0009510B" w:rsidRPr="00AF3241" w:rsidRDefault="0009510B" w:rsidP="00570382">
      <w:pPr>
        <w:spacing w:after="0" w:line="240" w:lineRule="auto"/>
        <w:rPr>
          <w:rFonts w:ascii="Arial Narrow" w:hAnsi="Arial Narrow" w:cs="Times New Roman"/>
        </w:rPr>
      </w:pPr>
    </w:p>
    <w:p w14:paraId="20BCCA84" w14:textId="12CFF7E3"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(Objednávateľ a Poskytovateľ spolu ďalej ako „</w:t>
      </w:r>
      <w:r w:rsidRPr="00AF3241">
        <w:rPr>
          <w:rFonts w:ascii="Arial Narrow" w:hAnsi="Arial Narrow" w:cs="Times New Roman"/>
          <w:b/>
          <w:bCs/>
        </w:rPr>
        <w:t>Zmluvné strany</w:t>
      </w:r>
      <w:r w:rsidRPr="00AF3241">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241906E6" w:rsidR="00CD464D" w:rsidRDefault="00CD464D" w:rsidP="00570382">
      <w:pPr>
        <w:spacing w:after="0" w:line="240" w:lineRule="auto"/>
        <w:rPr>
          <w:rFonts w:ascii="Arial Narrow" w:hAnsi="Arial Narrow" w:cs="Times New Roman"/>
        </w:rPr>
      </w:pPr>
    </w:p>
    <w:p w14:paraId="6F2A5A27" w14:textId="46D177A3" w:rsidR="0009510B" w:rsidRDefault="0009510B" w:rsidP="00570382">
      <w:pPr>
        <w:spacing w:after="0" w:line="240" w:lineRule="auto"/>
        <w:rPr>
          <w:rFonts w:ascii="Arial Narrow" w:hAnsi="Arial Narrow" w:cs="Times New Roman"/>
        </w:rPr>
      </w:pPr>
    </w:p>
    <w:p w14:paraId="6CE79096" w14:textId="0AA2CBAC" w:rsidR="0009510B" w:rsidRDefault="0009510B" w:rsidP="00570382">
      <w:pPr>
        <w:spacing w:after="0" w:line="240" w:lineRule="auto"/>
        <w:rPr>
          <w:rFonts w:ascii="Arial Narrow" w:hAnsi="Arial Narrow" w:cs="Times New Roman"/>
        </w:rPr>
      </w:pPr>
    </w:p>
    <w:p w14:paraId="226C3EA8" w14:textId="2DAC7D36" w:rsidR="0009510B" w:rsidRDefault="0009510B" w:rsidP="00570382">
      <w:pPr>
        <w:spacing w:after="0" w:line="240" w:lineRule="auto"/>
        <w:rPr>
          <w:rFonts w:ascii="Arial Narrow" w:hAnsi="Arial Narrow" w:cs="Times New Roman"/>
        </w:rPr>
      </w:pPr>
    </w:p>
    <w:p w14:paraId="4D4C53B6" w14:textId="043457D2" w:rsidR="0009510B" w:rsidRDefault="0009510B" w:rsidP="00570382">
      <w:pPr>
        <w:spacing w:after="0" w:line="240" w:lineRule="auto"/>
        <w:rPr>
          <w:rFonts w:ascii="Arial Narrow" w:hAnsi="Arial Narrow" w:cs="Times New Roman"/>
        </w:rPr>
      </w:pPr>
    </w:p>
    <w:p w14:paraId="6719B993" w14:textId="60F135A2" w:rsidR="0009510B" w:rsidRDefault="0009510B" w:rsidP="00570382">
      <w:pPr>
        <w:spacing w:after="0" w:line="240" w:lineRule="auto"/>
        <w:rPr>
          <w:rFonts w:ascii="Arial Narrow" w:hAnsi="Arial Narrow" w:cs="Times New Roman"/>
        </w:rPr>
      </w:pPr>
    </w:p>
    <w:p w14:paraId="20A38403" w14:textId="3C0C19BE" w:rsidR="0009510B" w:rsidRDefault="0009510B" w:rsidP="00570382">
      <w:pPr>
        <w:spacing w:after="0" w:line="240" w:lineRule="auto"/>
        <w:rPr>
          <w:rFonts w:ascii="Arial Narrow" w:hAnsi="Arial Narrow" w:cs="Times New Roman"/>
        </w:rPr>
      </w:pPr>
    </w:p>
    <w:p w14:paraId="37445FC5" w14:textId="551AE8EC" w:rsidR="0009510B" w:rsidRDefault="0009510B" w:rsidP="00570382">
      <w:pPr>
        <w:spacing w:after="0" w:line="240" w:lineRule="auto"/>
        <w:rPr>
          <w:rFonts w:ascii="Arial Narrow" w:hAnsi="Arial Narrow" w:cs="Times New Roman"/>
        </w:rPr>
      </w:pPr>
    </w:p>
    <w:p w14:paraId="04669635" w14:textId="6E9D1504" w:rsidR="0009510B" w:rsidRDefault="0009510B" w:rsidP="00570382">
      <w:pPr>
        <w:spacing w:after="0" w:line="240" w:lineRule="auto"/>
        <w:rPr>
          <w:rFonts w:ascii="Arial Narrow" w:hAnsi="Arial Narrow" w:cs="Times New Roman"/>
        </w:rPr>
      </w:pPr>
    </w:p>
    <w:p w14:paraId="1B3C2946" w14:textId="6E082EC7" w:rsidR="0009510B" w:rsidRDefault="0009510B" w:rsidP="00570382">
      <w:pPr>
        <w:spacing w:after="0" w:line="240" w:lineRule="auto"/>
        <w:rPr>
          <w:rFonts w:ascii="Arial Narrow" w:hAnsi="Arial Narrow" w:cs="Times New Roman"/>
        </w:rPr>
      </w:pPr>
    </w:p>
    <w:p w14:paraId="4AF78C04" w14:textId="15C35BE2" w:rsidR="0009510B" w:rsidRDefault="0009510B" w:rsidP="00570382">
      <w:pPr>
        <w:spacing w:after="0" w:line="240" w:lineRule="auto"/>
        <w:rPr>
          <w:rFonts w:ascii="Arial Narrow" w:hAnsi="Arial Narrow" w:cs="Times New Roman"/>
        </w:rPr>
      </w:pPr>
    </w:p>
    <w:p w14:paraId="02A8AC32" w14:textId="1BE2AB65" w:rsidR="0009510B" w:rsidRDefault="0009510B" w:rsidP="00570382">
      <w:pPr>
        <w:spacing w:after="0" w:line="240" w:lineRule="auto"/>
        <w:rPr>
          <w:rFonts w:ascii="Arial Narrow" w:hAnsi="Arial Narrow" w:cs="Times New Roman"/>
        </w:rPr>
      </w:pPr>
    </w:p>
    <w:p w14:paraId="61D60221" w14:textId="6A1CA4EC" w:rsidR="0009510B" w:rsidRDefault="0009510B" w:rsidP="00570382">
      <w:pPr>
        <w:spacing w:after="0" w:line="240" w:lineRule="auto"/>
        <w:rPr>
          <w:rFonts w:ascii="Arial Narrow" w:hAnsi="Arial Narrow" w:cs="Times New Roman"/>
        </w:rPr>
      </w:pPr>
    </w:p>
    <w:p w14:paraId="67EFD204" w14:textId="7658CCF3" w:rsidR="0009510B" w:rsidRDefault="0009510B" w:rsidP="00570382">
      <w:pPr>
        <w:spacing w:after="0" w:line="240" w:lineRule="auto"/>
        <w:rPr>
          <w:rFonts w:ascii="Arial Narrow" w:hAnsi="Arial Narrow" w:cs="Times New Roman"/>
        </w:rPr>
      </w:pPr>
    </w:p>
    <w:p w14:paraId="47BB7CE4" w14:textId="7EB2FEFB" w:rsidR="0009510B" w:rsidRDefault="0009510B" w:rsidP="00570382">
      <w:pPr>
        <w:spacing w:after="0" w:line="240" w:lineRule="auto"/>
        <w:rPr>
          <w:rFonts w:ascii="Arial Narrow" w:hAnsi="Arial Narrow" w:cs="Times New Roman"/>
        </w:rPr>
      </w:pPr>
    </w:p>
    <w:p w14:paraId="33ECE051" w14:textId="21664417" w:rsidR="0009510B" w:rsidRDefault="0009510B" w:rsidP="00570382">
      <w:pPr>
        <w:spacing w:after="0" w:line="240" w:lineRule="auto"/>
        <w:rPr>
          <w:rFonts w:ascii="Arial Narrow" w:hAnsi="Arial Narrow" w:cs="Times New Roman"/>
        </w:rPr>
      </w:pPr>
    </w:p>
    <w:p w14:paraId="6B4EF6D3" w14:textId="4F600000" w:rsidR="0009510B" w:rsidRDefault="0009510B" w:rsidP="00570382">
      <w:pPr>
        <w:spacing w:after="0" w:line="240" w:lineRule="auto"/>
        <w:rPr>
          <w:rFonts w:ascii="Arial Narrow" w:hAnsi="Arial Narrow" w:cs="Times New Roman"/>
        </w:rPr>
      </w:pPr>
    </w:p>
    <w:p w14:paraId="30ECE9E0" w14:textId="0BD5031B" w:rsidR="0009510B" w:rsidRDefault="0009510B" w:rsidP="00570382">
      <w:pPr>
        <w:spacing w:after="0" w:line="240" w:lineRule="auto"/>
        <w:rPr>
          <w:rFonts w:ascii="Arial Narrow" w:hAnsi="Arial Narrow" w:cs="Times New Roman"/>
        </w:rPr>
      </w:pPr>
    </w:p>
    <w:p w14:paraId="05E4D64A" w14:textId="36FD8031" w:rsidR="0009510B" w:rsidRDefault="0009510B" w:rsidP="00570382">
      <w:pPr>
        <w:spacing w:after="0" w:line="240" w:lineRule="auto"/>
        <w:rPr>
          <w:rFonts w:ascii="Arial Narrow" w:hAnsi="Arial Narrow" w:cs="Times New Roman"/>
        </w:rPr>
      </w:pPr>
    </w:p>
    <w:p w14:paraId="362BB131" w14:textId="45397307" w:rsidR="0009510B" w:rsidRDefault="0009510B" w:rsidP="00570382">
      <w:pPr>
        <w:spacing w:after="0" w:line="240" w:lineRule="auto"/>
        <w:rPr>
          <w:rFonts w:ascii="Arial Narrow" w:hAnsi="Arial Narrow" w:cs="Times New Roman"/>
        </w:rPr>
      </w:pPr>
    </w:p>
    <w:p w14:paraId="47FE9F4C" w14:textId="0E31F297" w:rsidR="0009510B" w:rsidRDefault="0009510B" w:rsidP="00570382">
      <w:pPr>
        <w:spacing w:after="0" w:line="240" w:lineRule="auto"/>
        <w:rPr>
          <w:rFonts w:ascii="Arial Narrow" w:hAnsi="Arial Narrow" w:cs="Times New Roman"/>
        </w:rPr>
      </w:pPr>
    </w:p>
    <w:p w14:paraId="2D344560" w14:textId="49564865" w:rsidR="0009510B" w:rsidRDefault="0009510B" w:rsidP="00570382">
      <w:pPr>
        <w:spacing w:after="0" w:line="240" w:lineRule="auto"/>
        <w:rPr>
          <w:rFonts w:ascii="Arial Narrow" w:hAnsi="Arial Narrow" w:cs="Times New Roman"/>
        </w:rPr>
      </w:pPr>
    </w:p>
    <w:p w14:paraId="0E242056" w14:textId="1AF94E53" w:rsidR="0009510B" w:rsidRDefault="0009510B" w:rsidP="00570382">
      <w:pPr>
        <w:spacing w:after="0" w:line="240" w:lineRule="auto"/>
        <w:rPr>
          <w:rFonts w:ascii="Arial Narrow" w:hAnsi="Arial Narrow" w:cs="Times New Roman"/>
        </w:rPr>
      </w:pPr>
    </w:p>
    <w:p w14:paraId="693E79C7" w14:textId="1CD2A6E7" w:rsidR="0009510B" w:rsidRDefault="0009510B" w:rsidP="00570382">
      <w:pPr>
        <w:spacing w:after="0" w:line="240" w:lineRule="auto"/>
        <w:rPr>
          <w:rFonts w:ascii="Arial Narrow" w:hAnsi="Arial Narrow" w:cs="Times New Roman"/>
        </w:rPr>
      </w:pPr>
    </w:p>
    <w:p w14:paraId="5859BD10" w14:textId="05B70427" w:rsidR="0009510B" w:rsidRDefault="0009510B" w:rsidP="00570382">
      <w:pPr>
        <w:spacing w:after="0" w:line="240" w:lineRule="auto"/>
        <w:rPr>
          <w:rFonts w:ascii="Arial Narrow" w:hAnsi="Arial Narrow" w:cs="Times New Roman"/>
        </w:rPr>
      </w:pPr>
    </w:p>
    <w:p w14:paraId="592710E0" w14:textId="4ABF50DE" w:rsidR="0009510B" w:rsidRDefault="0009510B" w:rsidP="00570382">
      <w:pPr>
        <w:spacing w:after="0" w:line="240" w:lineRule="auto"/>
        <w:rPr>
          <w:rFonts w:ascii="Arial Narrow" w:hAnsi="Arial Narrow" w:cs="Times New Roman"/>
        </w:rPr>
      </w:pPr>
    </w:p>
    <w:p w14:paraId="288E3947" w14:textId="77777777" w:rsidR="0009510B" w:rsidRPr="00AF3241" w:rsidRDefault="0009510B"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01C454E2" w:rsidR="00894A34" w:rsidRPr="00AF3241" w:rsidRDefault="00A45695" w:rsidP="00570382">
      <w:pPr>
        <w:pStyle w:val="Odsekzoznamu"/>
        <w:numPr>
          <w:ilvl w:val="1"/>
          <w:numId w:val="3"/>
        </w:numPr>
        <w:spacing w:after="0" w:line="240" w:lineRule="auto"/>
        <w:ind w:left="709" w:hanging="851"/>
        <w:jc w:val="both"/>
        <w:rPr>
          <w:rFonts w:ascii="Arial Narrow" w:hAnsi="Arial Narrow" w:cs="Times New Roman"/>
        </w:rPr>
      </w:pPr>
      <w:r w:rsidRPr="0093053E">
        <w:rPr>
          <w:rFonts w:ascii="Arial Narrow" w:hAnsi="Arial Narrow" w:cs="Times New Roman"/>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93053E">
        <w:rPr>
          <w:rFonts w:ascii="Arial Narrow" w:hAnsi="Arial Narrow" w:cs="Times New Roman"/>
          <w:b/>
        </w:rPr>
        <w:t>Verejné obstarávanie</w:t>
      </w:r>
      <w:r w:rsidRPr="0093053E">
        <w:rPr>
          <w:rFonts w:ascii="Arial Narrow" w:hAnsi="Arial Narrow" w:cs="Times New Roman"/>
        </w:rPr>
        <w:t xml:space="preserve">“) podľa zák. č. 343/2015 </w:t>
      </w:r>
      <w:proofErr w:type="spellStart"/>
      <w:r w:rsidRPr="0093053E">
        <w:rPr>
          <w:rFonts w:ascii="Arial Narrow" w:hAnsi="Arial Narrow" w:cs="Times New Roman"/>
        </w:rPr>
        <w:t>Z.z</w:t>
      </w:r>
      <w:proofErr w:type="spellEnd"/>
      <w:r w:rsidRPr="0093053E">
        <w:rPr>
          <w:rFonts w:ascii="Arial Narrow" w:hAnsi="Arial Narrow" w:cs="Times New Roman"/>
        </w:rPr>
        <w:t>. o verejnom obstarávaní v znení neskorších predpisov (ďalej ako „</w:t>
      </w:r>
      <w:r w:rsidRPr="0093053E">
        <w:rPr>
          <w:rFonts w:ascii="Arial Narrow" w:hAnsi="Arial Narrow" w:cs="Times New Roman"/>
          <w:b/>
          <w:bCs/>
        </w:rPr>
        <w:t>Zákon o verejnom obstarávaní</w:t>
      </w:r>
      <w:r w:rsidRPr="0093053E">
        <w:rPr>
          <w:rFonts w:ascii="Arial Narrow" w:hAnsi="Arial Narrow" w:cs="Times New Roman"/>
        </w:rPr>
        <w:t>“)</w:t>
      </w:r>
      <w:r w:rsidR="00894A34" w:rsidRPr="00AF3241">
        <w:rPr>
          <w:rFonts w:ascii="Arial Narrow" w:hAnsi="Arial Narrow" w:cs="Times New Roman"/>
        </w:rPr>
        <w:t>.</w:t>
      </w:r>
      <w:r w:rsidR="006420D6" w:rsidRPr="00AF3241">
        <w:rPr>
          <w:rFonts w:ascii="Arial Narrow" w:hAnsi="Arial Narrow" w:cs="Times New Roman"/>
        </w:rPr>
        <w:t xml:space="preserve"> Súčasťou dokumentácie Verejného obstarávania bol opis predmetu </w:t>
      </w:r>
      <w:r w:rsidR="00F41034" w:rsidRPr="00AF3241">
        <w:rPr>
          <w:rFonts w:ascii="Arial Narrow" w:hAnsi="Arial Narrow" w:cs="Times New Roman"/>
        </w:rPr>
        <w:t>zákazky</w:t>
      </w:r>
      <w:r w:rsidR="006420D6" w:rsidRPr="00AF3241">
        <w:rPr>
          <w:rFonts w:ascii="Arial Narrow" w:hAnsi="Arial Narrow" w:cs="Times New Roman"/>
        </w:rPr>
        <w:t xml:space="preserve"> (ďalej ako „</w:t>
      </w:r>
      <w:r w:rsidR="006420D6" w:rsidRPr="00AF3241">
        <w:rPr>
          <w:rFonts w:ascii="Arial Narrow" w:hAnsi="Arial Narrow" w:cs="Times New Roman"/>
          <w:b/>
          <w:bCs/>
        </w:rPr>
        <w:t>OPZ</w:t>
      </w:r>
      <w:r w:rsidR="006420D6" w:rsidRPr="00AF3241">
        <w:rPr>
          <w:rFonts w:ascii="Arial Narrow" w:hAnsi="Arial Narrow" w:cs="Times New Roman"/>
        </w:rPr>
        <w:t>“), ktorý tvorí Prílohu č. 1 tejto Zmluvy.</w:t>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63F90E3C"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Verejné obstarávanie realizoval </w:t>
      </w:r>
      <w:r w:rsidRPr="00A45695">
        <w:rPr>
          <w:rFonts w:ascii="Arial Narrow" w:hAnsi="Arial Narrow" w:cs="Times New Roman"/>
        </w:rPr>
        <w:t>Objednávateľ v súlade s oznámením o vyhlásení verejného obstarávania a v súlade so súťažnými podkladmi aj pre tretie osoby, iných verejných obstarávateľov, 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.1</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124AD378" w14:textId="77777777" w:rsidR="002C6B2E" w:rsidRDefault="002C6B2E" w:rsidP="002C6B2E">
      <w:pPr>
        <w:pStyle w:val="Zoznam2"/>
        <w:numPr>
          <w:ilvl w:val="0"/>
          <w:numId w:val="33"/>
        </w:numPr>
        <w:ind w:left="709" w:hanging="709"/>
        <w:rPr>
          <w:rFonts w:ascii="Arial Narrow" w:hAnsi="Arial Narrow" w:cs="Times New Roman"/>
        </w:rPr>
      </w:pPr>
      <w:bookmarkStart w:id="0" w:name="_Hlk180591936"/>
      <w:bookmarkStart w:id="1" w:name="_Hlk85125941"/>
      <w:r w:rsidRPr="002C6B2E">
        <w:rPr>
          <w:rFonts w:ascii="Arial Narrow" w:hAnsi="Arial Narrow" w:cs="Times New Roman"/>
        </w:rPr>
        <w:t xml:space="preserve">Predmetom tejto Zmluvy je záväzok Poskytovateľa zabezpečiť pre Objednávateľa dodávku elektriny,  distribučné  služby v odberných miestach definovaných v Prílohe č. 2 tejto Zmluvy (ďalej ako „Odberné miesta“), prevzatím zodpovednosti za Objednávateľa za odchýlku na Odberných miestach voči </w:t>
      </w:r>
      <w:proofErr w:type="spellStart"/>
      <w:r w:rsidRPr="002C6B2E">
        <w:rPr>
          <w:rFonts w:ascii="Arial Narrow" w:hAnsi="Arial Narrow" w:cs="Times New Roman"/>
        </w:rPr>
        <w:t>zúčtovateľovi</w:t>
      </w:r>
      <w:proofErr w:type="spellEnd"/>
      <w:r w:rsidRPr="002C6B2E">
        <w:rPr>
          <w:rFonts w:ascii="Arial Narrow" w:hAnsi="Arial Narrow" w:cs="Times New Roman"/>
        </w:rPr>
        <w:t xml:space="preserve"> odchýlok v súlade s OPZ vykonávaných Poskytovateľom pre Objednávateľa (ďalej ako „Zmluvné plnenia“) a záväzok Objednávateľa za riadne a včas poskytnuté Zmluvné plnenia zaplatiť Poskytovateľovi odplatu v súlade s čl. 4 tejto Zmluvy. </w:t>
      </w:r>
    </w:p>
    <w:p w14:paraId="062638AB" w14:textId="629F3F43" w:rsidR="002C6B2E" w:rsidRPr="002C6B2E" w:rsidRDefault="002C6B2E" w:rsidP="002C6B2E">
      <w:pPr>
        <w:pStyle w:val="Zoznam2"/>
        <w:numPr>
          <w:ilvl w:val="0"/>
          <w:numId w:val="33"/>
        </w:numPr>
        <w:ind w:left="709" w:hanging="709"/>
        <w:rPr>
          <w:rFonts w:ascii="Arial Narrow" w:hAnsi="Arial Narrow" w:cs="Times New Roman"/>
        </w:rPr>
      </w:pPr>
      <w:r w:rsidRPr="002C6B2E">
        <w:rPr>
          <w:rFonts w:ascii="Arial Narrow" w:hAnsi="Arial Narrow" w:cs="Times New Roman"/>
        </w:rPr>
        <w:t xml:space="preserve">Poskytovateľ zabezpečí komplexné Zmluvné plnenia súvisiace s pravidelnou bezpečnou, stabilnou a komplexnou dodávkou elektriny do Odberných miest vrátane prevzatia zodpovednosti za odchýlky voči </w:t>
      </w:r>
      <w:proofErr w:type="spellStart"/>
      <w:r w:rsidRPr="002C6B2E">
        <w:rPr>
          <w:rFonts w:ascii="Arial Narrow" w:hAnsi="Arial Narrow" w:cs="Times New Roman"/>
        </w:rPr>
        <w:t>zúčtovateľovi</w:t>
      </w:r>
      <w:proofErr w:type="spellEnd"/>
      <w:r w:rsidRPr="002C6B2E">
        <w:rPr>
          <w:rFonts w:ascii="Arial Narrow" w:hAnsi="Arial Narrow" w:cs="Times New Roman"/>
        </w:rPr>
        <w:t xml:space="preserve"> odchýlok za každé z Odberných miest za týchto podmienok:</w:t>
      </w:r>
    </w:p>
    <w:p w14:paraId="0358B3EB" w14:textId="11829866" w:rsidR="002C6B2E" w:rsidRPr="002C6B2E" w:rsidRDefault="002C6B2E" w:rsidP="002C6B2E">
      <w:pPr>
        <w:pStyle w:val="Zoznam3"/>
        <w:numPr>
          <w:ilvl w:val="2"/>
          <w:numId w:val="35"/>
        </w:numPr>
        <w:rPr>
          <w:rFonts w:ascii="Arial Narrow" w:hAnsi="Arial Narrow" w:cs="Times New Roman"/>
        </w:rPr>
      </w:pPr>
      <w:r w:rsidRPr="002C6B2E">
        <w:rPr>
          <w:rFonts w:ascii="Arial Narrow" w:hAnsi="Arial Narrow" w:cs="Times New Roman"/>
        </w:rPr>
        <w:t>Poskytovateľ bezpodmienečne garantuje dodávky elektriny po celú dobu trvania tejto Zmluvy;</w:t>
      </w:r>
    </w:p>
    <w:p w14:paraId="7CFAEFE5" w14:textId="3DBE0082" w:rsidR="002C6B2E" w:rsidRPr="002C6B2E" w:rsidRDefault="002C6B2E" w:rsidP="002C6B2E">
      <w:pPr>
        <w:pStyle w:val="Zoznam3"/>
        <w:ind w:left="1276" w:hanging="710"/>
        <w:rPr>
          <w:rFonts w:ascii="Arial Narrow" w:hAnsi="Arial Narrow" w:cs="Times New Roman"/>
        </w:rPr>
      </w:pPr>
      <w:r>
        <w:rPr>
          <w:rFonts w:ascii="Arial Narrow" w:hAnsi="Arial Narrow" w:cs="Times New Roman"/>
        </w:rPr>
        <w:t>2.2.2</w:t>
      </w:r>
      <w:r>
        <w:rPr>
          <w:rFonts w:ascii="Arial Narrow" w:hAnsi="Arial Narrow" w:cs="Times New Roman"/>
        </w:rPr>
        <w:tab/>
      </w:r>
      <w:r w:rsidRPr="002C6B2E">
        <w:rPr>
          <w:rFonts w:ascii="Arial Narrow" w:hAnsi="Arial Narrow" w:cs="Times New Roman"/>
        </w:rPr>
        <w:t xml:space="preserve">Poskytovateľ nemá právo od Objednávateľa požadovať žiadne iné poplatky ani platby, ktoré nie sú dohodnuté v tejto Zmluve; </w:t>
      </w:r>
    </w:p>
    <w:p w14:paraId="41D226DE" w14:textId="5D11BEFA" w:rsidR="002C6B2E" w:rsidRPr="002C6B2E" w:rsidRDefault="002C6B2E" w:rsidP="002C6B2E">
      <w:pPr>
        <w:pStyle w:val="Zoznam3"/>
        <w:ind w:left="1276" w:hanging="710"/>
        <w:rPr>
          <w:rFonts w:ascii="Arial Narrow" w:hAnsi="Arial Narrow" w:cs="Times New Roman"/>
        </w:rPr>
      </w:pPr>
      <w:r>
        <w:rPr>
          <w:rFonts w:ascii="Arial Narrow" w:hAnsi="Arial Narrow" w:cs="Times New Roman"/>
        </w:rPr>
        <w:t>2.2.3</w:t>
      </w:r>
      <w:r>
        <w:rPr>
          <w:rFonts w:ascii="Arial Narrow" w:hAnsi="Arial Narrow" w:cs="Times New Roman"/>
        </w:rPr>
        <w:tab/>
      </w:r>
      <w:r w:rsidRPr="002C6B2E">
        <w:rPr>
          <w:rFonts w:ascii="Arial Narrow" w:hAnsi="Arial Narrow" w:cs="Times New Roman"/>
        </w:rPr>
        <w:t>Poskytovateľ sa zaväzuje dodávať elektrinu a poskytovať distribučné služby Objednávateľovi na základe tejto Zmluvy za cenu dohodnutú v tejto Zmluve</w:t>
      </w:r>
      <w:bookmarkEnd w:id="0"/>
      <w:r w:rsidRPr="002C6B2E">
        <w:rPr>
          <w:rFonts w:ascii="Arial Narrow" w:hAnsi="Arial Narrow" w:cs="Times New Roman"/>
        </w:rPr>
        <w:t>.</w:t>
      </w:r>
    </w:p>
    <w:p w14:paraId="61C72A7B" w14:textId="77777777" w:rsidR="003E3DEF" w:rsidRPr="00AF3241" w:rsidRDefault="003E3DEF" w:rsidP="003E3DEF">
      <w:pPr>
        <w:pStyle w:val="Odsekzoznamu"/>
        <w:spacing w:after="0" w:line="240" w:lineRule="auto"/>
        <w:ind w:left="1701"/>
        <w:jc w:val="both"/>
        <w:rPr>
          <w:rFonts w:ascii="Arial Narrow" w:hAnsi="Arial Narrow" w:cs="Times New Roman"/>
        </w:rPr>
      </w:pPr>
    </w:p>
    <w:p w14:paraId="6B592BDC" w14:textId="34CCAA29"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1"/>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CE6E49F"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súlade s </w:t>
      </w:r>
      <w:r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A544813"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7848442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(5)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582ABFD4"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y sa za vyššiu moc považujú udalosti, ktoré nie sú závislé od konania zmluvných strán, a ktoré nemôžu  zmluvné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4A59EE2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Pr="00AF3241">
        <w:rPr>
          <w:rFonts w:ascii="Arial Narrow" w:hAnsi="Arial Narrow" w:cs="Times New Roman"/>
          <w:b/>
          <w:bCs/>
        </w:rPr>
        <w:t>Dôverné informácie</w:t>
      </w:r>
      <w:r w:rsidRPr="00AF3241">
        <w:rPr>
          <w:rFonts w:ascii="Arial Narrow" w:hAnsi="Arial Narrow" w:cs="Times New Roman"/>
        </w:rPr>
        <w:t>”). Poskytovateľ sa zaväzuje, že použije Dôverné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Objednávateľovi </w:t>
      </w:r>
      <w:r w:rsidRPr="003E3DEF">
        <w:rPr>
          <w:rFonts w:ascii="Arial Narrow" w:hAnsi="Arial Narrow" w:cs="Times New Roman"/>
        </w:rPr>
        <w:t>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75AB4948"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Je odborne spôsobilý poskytovať Zmluvné plneni</w:t>
      </w:r>
      <w:r w:rsidR="0024289F" w:rsidRPr="00AF3241">
        <w:rPr>
          <w:rFonts w:ascii="Arial Narrow" w:hAnsi="Arial Narrow" w:cs="Times New Roman"/>
        </w:rPr>
        <w:t>a</w:t>
      </w:r>
      <w:r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47A6EEB2"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poskytovateľa oprávňuje podnikať v oblasti dodávky elektriny na území SR v súlade so </w:t>
      </w:r>
      <w:r w:rsidR="007946E7" w:rsidRPr="00AF3241">
        <w:rPr>
          <w:rFonts w:ascii="Arial Narrow" w:hAnsi="Arial Narrow" w:cs="Times New Roman"/>
        </w:rPr>
        <w:t xml:space="preserve">zákonom č. 251/2012 </w:t>
      </w:r>
      <w:proofErr w:type="spellStart"/>
      <w:r w:rsidR="007946E7" w:rsidRPr="00AF3241">
        <w:rPr>
          <w:rFonts w:ascii="Arial Narrow" w:hAnsi="Arial Narrow" w:cs="Times New Roman"/>
        </w:rPr>
        <w:t>Z.z</w:t>
      </w:r>
      <w:proofErr w:type="spellEnd"/>
      <w:r w:rsidR="007946E7" w:rsidRPr="00AF3241">
        <w:rPr>
          <w:rFonts w:ascii="Arial Narrow" w:hAnsi="Arial Narrow" w:cs="Times New Roman"/>
        </w:rPr>
        <w:t>.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BB0F17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a dátumu jej uzatvorenia</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FD74BA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(Západoslovenská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Stredoslovenská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Východoslovenská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7A1FC615"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0C0B1C35"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Povinnosť zápisu do registra partnerov verejného sektora upravuje osobitný predpis - Zákon o verejnom obstarávaní.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w:t>
      </w:r>
      <w:r w:rsidRPr="00AF3241">
        <w:rPr>
          <w:rFonts w:ascii="Arial Narrow" w:hAnsi="Arial Narrow" w:cs="Times New Roman"/>
        </w:rPr>
        <w:lastRenderedPageBreak/>
        <w:t xml:space="preserve">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743BD7EC" w:rsidR="007946E7"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09510B">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48ACA6"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PDS informuje Objednávateľa o dodávke poslednej inštancie najneskôr </w:t>
      </w:r>
      <w:r w:rsidR="005313BE" w:rsidRPr="00AF3241">
        <w:rPr>
          <w:rFonts w:ascii="Arial Narrow" w:hAnsi="Arial Narrow" w:cs="Times New Roman"/>
        </w:rPr>
        <w:t>pätnásť (</w:t>
      </w:r>
      <w:r w:rsidRPr="00AF3241">
        <w:rPr>
          <w:rFonts w:ascii="Arial Narrow" w:hAnsi="Arial Narrow" w:cs="Times New Roman"/>
        </w:rPr>
        <w:t>15</w:t>
      </w:r>
      <w:r w:rsidR="005313BE" w:rsidRPr="00AF3241">
        <w:rPr>
          <w:rFonts w:ascii="Arial Narrow" w:hAnsi="Arial Narrow" w:cs="Times New Roman"/>
        </w:rPr>
        <w:t>)</w:t>
      </w:r>
      <w:r w:rsidRPr="00AF3241">
        <w:rPr>
          <w:rFonts w:ascii="Arial Narrow" w:hAnsi="Arial Narrow" w:cs="Times New Roman"/>
        </w:rPr>
        <w:t xml:space="preserve"> 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77777777"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dôvernými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43B2887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spoločnosti Západoslovenská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 Stredoslovenská energetika - Distribúcia, </w:t>
      </w:r>
      <w:proofErr w:type="spellStart"/>
      <w:r w:rsidRPr="00AF3241">
        <w:rPr>
          <w:rFonts w:ascii="Arial Narrow" w:hAnsi="Arial Narrow" w:cs="Times New Roman"/>
        </w:rPr>
        <w:t>a.s</w:t>
      </w:r>
      <w:proofErr w:type="spellEnd"/>
      <w:r w:rsidRPr="00AF3241">
        <w:rPr>
          <w:rFonts w:ascii="Arial Narrow" w:hAnsi="Arial Narrow" w:cs="Times New Roman"/>
        </w:rPr>
        <w:t xml:space="preserve">. a Východoslovenská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w:t>
      </w:r>
      <w:r w:rsidRPr="00AF3241">
        <w:rPr>
          <w:rFonts w:ascii="Arial Narrow" w:hAnsi="Arial Narrow" w:cs="Times New Roman"/>
        </w:rPr>
        <w:lastRenderedPageBreak/>
        <w:t>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3BACCB3E"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628E1897" w14:textId="7E4AD48A" w:rsidR="007946E7" w:rsidRPr="00AF3241"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 xml:space="preserve">Objednávateľ menuje osobu zodpovednú za kontrolu realizácie a preberanie plnení, a to: </w:t>
      </w:r>
      <w:r w:rsidRPr="00AF3241">
        <w:rPr>
          <w:rFonts w:ascii="Arial Narrow" w:eastAsia="Arial Unicode MS" w:hAnsi="Arial Narrow" w:cs="Times New Roman"/>
          <w:highlight w:val="yellow"/>
        </w:rPr>
        <w:t>[ • ]</w:t>
      </w:r>
      <w:r w:rsidRPr="00AF3241">
        <w:rPr>
          <w:rFonts w:ascii="Arial Narrow" w:eastAsia="Arial Unicode MS" w:hAnsi="Arial Narrow" w:cs="Times New Roman"/>
        </w:rPr>
        <w:t>.</w:t>
      </w:r>
    </w:p>
    <w:p w14:paraId="08EA24F1" w14:textId="77777777" w:rsidR="00683B20" w:rsidRPr="00AF3241" w:rsidRDefault="00683B20" w:rsidP="00683B20">
      <w:pPr>
        <w:pStyle w:val="Odsekzoznamu"/>
        <w:rPr>
          <w:rFonts w:ascii="Arial Narrow" w:hAnsi="Arial Narrow" w:cs="Times New Roman"/>
        </w:rPr>
      </w:pPr>
    </w:p>
    <w:p w14:paraId="71E4A97B" w14:textId="77777777" w:rsidR="007946E7" w:rsidRPr="00AF3241"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 xml:space="preserve">Poskytovateľ menuje osobu zodpovednú za poskytovanie informácií o Zmluvných plneniach, a to: </w:t>
      </w:r>
      <w:r w:rsidRPr="00AF3241">
        <w:rPr>
          <w:rFonts w:ascii="Arial Narrow" w:eastAsia="Arial Unicode MS" w:hAnsi="Arial Narrow" w:cs="Times New Roman"/>
          <w:highlight w:val="yellow"/>
        </w:rPr>
        <w:t>[ • ]</w:t>
      </w:r>
      <w:r w:rsidRPr="00AF3241">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bookmarkStart w:id="2" w:name="_Hlk180592550"/>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4F58B5A5" w14:textId="77777777" w:rsidR="002C6B2E" w:rsidRPr="002C6B2E" w:rsidRDefault="002C6B2E" w:rsidP="002C6B2E">
      <w:pPr>
        <w:pStyle w:val="Zoznam2"/>
        <w:widowControl w:val="0"/>
        <w:numPr>
          <w:ilvl w:val="0"/>
          <w:numId w:val="38"/>
        </w:numPr>
        <w:spacing w:before="240" w:after="120" w:line="240" w:lineRule="auto"/>
        <w:contextualSpacing w:val="0"/>
        <w:jc w:val="both"/>
        <w:rPr>
          <w:rFonts w:ascii="Arial Narrow" w:hAnsi="Arial Narrow" w:cs="Times New Roman"/>
          <w:lang w:eastAsia="de-DE"/>
        </w:rPr>
      </w:pPr>
      <w:bookmarkStart w:id="3" w:name="_Hlk180592581"/>
      <w:bookmarkEnd w:id="2"/>
      <w:r w:rsidRPr="002C6B2E">
        <w:rPr>
          <w:rFonts w:ascii="Arial Narrow" w:hAnsi="Arial Narrow" w:cs="Times New Roman"/>
          <w:lang w:eastAsia="de-DE"/>
        </w:rPr>
        <w:t xml:space="preserve">Cena za dodávku elektriny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93D5708" w14:textId="77777777" w:rsidR="002C6B2E" w:rsidRPr="002C6B2E" w:rsidRDefault="002C6B2E" w:rsidP="002C6B2E">
      <w:pPr>
        <w:pStyle w:val="Zoznam2"/>
        <w:widowControl w:val="0"/>
        <w:numPr>
          <w:ilvl w:val="0"/>
          <w:numId w:val="38"/>
        </w:numPr>
        <w:spacing w:before="240" w:after="120" w:line="240" w:lineRule="auto"/>
        <w:contextualSpacing w:val="0"/>
        <w:jc w:val="both"/>
        <w:rPr>
          <w:rFonts w:ascii="Arial Narrow" w:hAnsi="Arial Narrow" w:cs="Times New Roman"/>
          <w:lang w:eastAsia="de-DE"/>
        </w:rPr>
      </w:pPr>
      <w:bookmarkStart w:id="4" w:name="_Ref115333148"/>
      <w:r w:rsidRPr="002C6B2E">
        <w:rPr>
          <w:rFonts w:ascii="Arial Narrow" w:hAnsi="Arial Narrow" w:cs="Times New Roman"/>
          <w:lang w:eastAsia="de-DE"/>
        </w:rPr>
        <w:t>K cene za dodávku elektriny bude pri jej fakturácii pripočítaná:</w:t>
      </w:r>
      <w:bookmarkEnd w:id="4"/>
    </w:p>
    <w:p w14:paraId="61408A72" w14:textId="238F26F9" w:rsidR="002C6B2E" w:rsidRPr="002C6B2E" w:rsidRDefault="002C6B2E" w:rsidP="002C6B2E">
      <w:pPr>
        <w:pStyle w:val="Zoznam3"/>
        <w:widowControl w:val="0"/>
        <w:numPr>
          <w:ilvl w:val="2"/>
          <w:numId w:val="39"/>
        </w:numPr>
        <w:spacing w:before="120" w:after="120" w:line="240" w:lineRule="auto"/>
        <w:ind w:left="1276" w:hanging="709"/>
        <w:contextualSpacing w:val="0"/>
        <w:jc w:val="both"/>
        <w:rPr>
          <w:rFonts w:ascii="Arial Narrow" w:hAnsi="Arial Narrow" w:cs="Times New Roman"/>
          <w:lang w:eastAsia="de-DE"/>
        </w:rPr>
      </w:pPr>
      <w:bookmarkStart w:id="5" w:name="_Ref134176490"/>
      <w:r w:rsidRPr="002C6B2E">
        <w:rPr>
          <w:rFonts w:ascii="Arial Narrow" w:hAnsi="Arial Narrow" w:cs="Times New Roman"/>
          <w:lang w:eastAsia="de-DE"/>
        </w:rPr>
        <w:t xml:space="preserve">cena za distribučné služby a ostatné poplatky fakturované </w:t>
      </w:r>
      <w:bookmarkStart w:id="6" w:name="OLE_LINK46"/>
      <w:r w:rsidRPr="002C6B2E">
        <w:rPr>
          <w:rFonts w:ascii="Arial Narrow" w:hAnsi="Arial Narrow" w:cs="Times New Roman"/>
          <w:lang w:eastAsia="de-DE"/>
        </w:rPr>
        <w:t xml:space="preserve">PDS v súlade s  cenovými rozhodnutiami Úradu pre reguláciu sieťových odvetví </w:t>
      </w:r>
      <w:bookmarkEnd w:id="6"/>
      <w:r w:rsidRPr="002C6B2E">
        <w:rPr>
          <w:rFonts w:ascii="Arial Narrow" w:hAnsi="Arial Narrow" w:cs="Times New Roman"/>
          <w:lang w:eastAsia="de-DE"/>
        </w:rPr>
        <w:t xml:space="preserve">(ďalej ako „ÚRSO“) </w:t>
      </w:r>
      <w:bookmarkStart w:id="7" w:name="OLE_LINK48"/>
      <w:bookmarkStart w:id="8" w:name="OLE_LINK49"/>
      <w:r w:rsidRPr="002C6B2E">
        <w:rPr>
          <w:rFonts w:ascii="Arial Narrow" w:hAnsi="Arial Narrow" w:cs="Times New Roman"/>
          <w:lang w:eastAsia="de-DE"/>
        </w:rPr>
        <w:t xml:space="preserve">platnými a účinnými </w:t>
      </w:r>
      <w:bookmarkEnd w:id="7"/>
      <w:bookmarkEnd w:id="8"/>
      <w:r w:rsidRPr="002C6B2E">
        <w:rPr>
          <w:rFonts w:ascii="Arial Narrow" w:hAnsi="Arial Narrow" w:cs="Times New Roman"/>
          <w:lang w:eastAsia="de-DE"/>
        </w:rPr>
        <w:t>v čase dodania plnení;</w:t>
      </w:r>
      <w:bookmarkEnd w:id="5"/>
    </w:p>
    <w:p w14:paraId="040C2EA1" w14:textId="1F1A5ED5"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4.2.2</w:t>
      </w:r>
      <w:r>
        <w:rPr>
          <w:rFonts w:ascii="Arial Narrow" w:hAnsi="Arial Narrow" w:cs="Times New Roman"/>
          <w:lang w:eastAsia="de-DE"/>
        </w:rPr>
        <w:tab/>
      </w:r>
      <w:r w:rsidRPr="002C6B2E">
        <w:rPr>
          <w:rFonts w:ascii="Arial Narrow" w:hAnsi="Arial Narrow" w:cs="Times New Roman"/>
          <w:lang w:eastAsia="de-DE"/>
        </w:rPr>
        <w:t>platby za systémové služby a platby za prevádzkovanie systému v súlade s cenovými rozhodnutiami ÚRSO platnými a </w:t>
      </w:r>
      <w:bookmarkStart w:id="9" w:name="OLE_LINK51"/>
      <w:r w:rsidRPr="002C6B2E">
        <w:rPr>
          <w:rFonts w:ascii="Arial Narrow" w:hAnsi="Arial Narrow" w:cs="Times New Roman"/>
          <w:lang w:eastAsia="de-DE"/>
        </w:rPr>
        <w:t xml:space="preserve">účinnými </w:t>
      </w:r>
      <w:bookmarkStart w:id="10" w:name="OLE_LINK54"/>
      <w:r w:rsidRPr="002C6B2E">
        <w:rPr>
          <w:rFonts w:ascii="Arial Narrow" w:hAnsi="Arial Narrow" w:cs="Times New Roman"/>
          <w:lang w:eastAsia="de-DE"/>
        </w:rPr>
        <w:t>v čase dodania plnení</w:t>
      </w:r>
      <w:bookmarkEnd w:id="9"/>
      <w:bookmarkEnd w:id="10"/>
      <w:r w:rsidRPr="002C6B2E">
        <w:rPr>
          <w:rFonts w:ascii="Arial Narrow" w:hAnsi="Arial Narrow" w:cs="Times New Roman"/>
          <w:lang w:eastAsia="de-DE"/>
        </w:rPr>
        <w:t>;</w:t>
      </w:r>
    </w:p>
    <w:p w14:paraId="62658996" w14:textId="233021C7"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4.2.3</w:t>
      </w:r>
      <w:r>
        <w:rPr>
          <w:rFonts w:ascii="Arial Narrow" w:hAnsi="Arial Narrow" w:cs="Times New Roman"/>
          <w:lang w:eastAsia="de-DE"/>
        </w:rPr>
        <w:tab/>
      </w:r>
      <w:r w:rsidRPr="002C6B2E">
        <w:rPr>
          <w:rFonts w:ascii="Arial Narrow" w:hAnsi="Arial Narrow" w:cs="Times New Roman"/>
          <w:lang w:eastAsia="de-DE"/>
        </w:rPr>
        <w:t>odvod do jadrového fondu v súlade s nariadením vlády Slovenskej republiky č. 21/2019 Z. z. ktorým sa ustanovuje výška ročného odvodu určeného na úhradu historického dlhu z dodanej elektriny koncovým odberateľom elektriny a podrobnosti o spôsobe jeho výberu pre Národný jadrový fond, jeho použití a o spôsobe a lehotách jeho úhrady v platnom a účinnom znení v čase dodania plnení;</w:t>
      </w:r>
    </w:p>
    <w:p w14:paraId="6C5C3B0C" w14:textId="721BC189"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bookmarkStart w:id="11" w:name="_Ref134176493"/>
      <w:r>
        <w:rPr>
          <w:rFonts w:ascii="Arial Narrow" w:hAnsi="Arial Narrow" w:cs="Times New Roman"/>
          <w:lang w:eastAsia="de-DE"/>
        </w:rPr>
        <w:t>4.2.4</w:t>
      </w:r>
      <w:r>
        <w:rPr>
          <w:rFonts w:ascii="Arial Narrow" w:hAnsi="Arial Narrow" w:cs="Times New Roman"/>
          <w:lang w:eastAsia="de-DE"/>
        </w:rPr>
        <w:tab/>
      </w:r>
      <w:r w:rsidRPr="002C6B2E">
        <w:rPr>
          <w:rFonts w:ascii="Arial Narrow" w:hAnsi="Arial Narrow" w:cs="Times New Roman"/>
          <w:lang w:eastAsia="de-DE"/>
        </w:rPr>
        <w:t>iné poplatky, dane alebo peňažné plnenia týkajúce sa dodávky elektriny zavedené právnym poriadkom Slovenskej republiky, ktoré nie sú uplatňované v čase uzatvárania Zmluvy,</w:t>
      </w:r>
      <w:bookmarkEnd w:id="11"/>
    </w:p>
    <w:p w14:paraId="2952295B" w14:textId="77777777" w:rsidR="002C6B2E" w:rsidRPr="002C6B2E" w:rsidRDefault="002C6B2E" w:rsidP="002C6B2E">
      <w:pPr>
        <w:pStyle w:val="Zoznam3"/>
        <w:ind w:left="1276" w:firstLine="0"/>
        <w:rPr>
          <w:rFonts w:ascii="Arial Narrow" w:hAnsi="Arial Narrow" w:cs="Times New Roman"/>
          <w:lang w:eastAsia="de-DE"/>
        </w:rPr>
      </w:pPr>
      <w:r w:rsidRPr="002C6B2E">
        <w:rPr>
          <w:rFonts w:ascii="Arial Narrow" w:hAnsi="Arial Narrow" w:cs="Times New Roman"/>
          <w:lang w:eastAsia="de-DE"/>
        </w:rPr>
        <w:t xml:space="preserve">ceny a poplatky uvedené v bodoch </w:t>
      </w:r>
      <w:r w:rsidRPr="002C6B2E">
        <w:rPr>
          <w:rFonts w:cs="Times New Roman"/>
          <w:bCs/>
          <w:lang w:eastAsia="de-DE"/>
        </w:rPr>
        <w:fldChar w:fldCharType="begin"/>
      </w:r>
      <w:r w:rsidRPr="002C6B2E">
        <w:rPr>
          <w:rFonts w:cs="Times New Roman"/>
          <w:bCs/>
          <w:lang w:eastAsia="de-DE"/>
        </w:rPr>
        <w:instrText xml:space="preserve"> REF _Ref134176490 \r \h  \* MERGEFORMAT </w:instrText>
      </w:r>
      <w:r w:rsidRPr="002C6B2E">
        <w:rPr>
          <w:rFonts w:cs="Times New Roman"/>
          <w:bCs/>
          <w:lang w:eastAsia="de-DE"/>
        </w:rPr>
      </w:r>
      <w:r w:rsidRPr="002C6B2E">
        <w:rPr>
          <w:rFonts w:cs="Times New Roman"/>
          <w:bCs/>
          <w:lang w:eastAsia="de-DE"/>
        </w:rPr>
        <w:fldChar w:fldCharType="separate"/>
      </w:r>
      <w:r w:rsidRPr="002C6B2E">
        <w:rPr>
          <w:rFonts w:cs="Times New Roman"/>
          <w:bCs/>
          <w:lang w:eastAsia="de-DE"/>
        </w:rPr>
        <w:t>4.2.1</w:t>
      </w:r>
      <w:r w:rsidRPr="002C6B2E">
        <w:rPr>
          <w:rFonts w:cs="Times New Roman"/>
          <w:bCs/>
          <w:lang w:eastAsia="de-DE"/>
        </w:rPr>
        <w:fldChar w:fldCharType="end"/>
      </w:r>
      <w:r w:rsidRPr="002C6B2E">
        <w:rPr>
          <w:rFonts w:ascii="Arial Narrow" w:hAnsi="Arial Narrow" w:cs="Times New Roman"/>
          <w:lang w:eastAsia="de-DE"/>
        </w:rPr>
        <w:t xml:space="preserve"> až </w:t>
      </w:r>
      <w:r w:rsidRPr="002C6B2E">
        <w:rPr>
          <w:rFonts w:cs="Times New Roman"/>
          <w:bCs/>
          <w:lang w:eastAsia="de-DE"/>
        </w:rPr>
        <w:fldChar w:fldCharType="begin"/>
      </w:r>
      <w:r w:rsidRPr="002C6B2E">
        <w:rPr>
          <w:rFonts w:cs="Times New Roman"/>
          <w:bCs/>
          <w:lang w:eastAsia="de-DE"/>
        </w:rPr>
        <w:instrText xml:space="preserve"> REF _Ref134176493 \r \h  \* MERGEFORMAT </w:instrText>
      </w:r>
      <w:r w:rsidRPr="002C6B2E">
        <w:rPr>
          <w:rFonts w:cs="Times New Roman"/>
          <w:bCs/>
          <w:lang w:eastAsia="de-DE"/>
        </w:rPr>
      </w:r>
      <w:r w:rsidRPr="002C6B2E">
        <w:rPr>
          <w:rFonts w:cs="Times New Roman"/>
          <w:bCs/>
          <w:lang w:eastAsia="de-DE"/>
        </w:rPr>
        <w:fldChar w:fldCharType="separate"/>
      </w:r>
      <w:r w:rsidRPr="002C6B2E">
        <w:rPr>
          <w:rFonts w:cs="Times New Roman"/>
          <w:bCs/>
          <w:lang w:eastAsia="de-DE"/>
        </w:rPr>
        <w:t>4.2.4</w:t>
      </w:r>
      <w:r w:rsidRPr="002C6B2E">
        <w:rPr>
          <w:rFonts w:cs="Times New Roman"/>
          <w:bCs/>
          <w:lang w:eastAsia="de-DE"/>
        </w:rPr>
        <w:fldChar w:fldCharType="end"/>
      </w:r>
      <w:r w:rsidRPr="002C6B2E">
        <w:rPr>
          <w:rFonts w:ascii="Arial Narrow" w:hAnsi="Arial Narrow" w:cs="Times New Roman"/>
          <w:lang w:eastAsia="de-DE"/>
        </w:rPr>
        <w:t xml:space="preserve"> ďalej ako „Ceny za regulované služby“;</w:t>
      </w:r>
    </w:p>
    <w:p w14:paraId="50095469" w14:textId="130505A8"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4.2.5</w:t>
      </w:r>
      <w:r>
        <w:rPr>
          <w:rFonts w:ascii="Arial Narrow" w:hAnsi="Arial Narrow" w:cs="Times New Roman"/>
          <w:lang w:eastAsia="de-DE"/>
        </w:rPr>
        <w:tab/>
      </w:r>
      <w:r w:rsidRPr="002C6B2E">
        <w:rPr>
          <w:rFonts w:ascii="Arial Narrow" w:hAnsi="Arial Narrow" w:cs="Times New Roman"/>
          <w:lang w:eastAsia="de-DE"/>
        </w:rPr>
        <w:t>spotrebná daň z elektriny podľa zákona č. 609/2007 Z. z. o spotrebnej dani  a o zmene a doplnení zákona č. 98/2004 Z. z. o spotrebnej dani z minerálneho oleja v znení neskorších predpisov, t. j. v znení platnom a účinnom v čase uskutočnenia zdaniteľného plnenia (ďalej ako „Zákon o spotrebnej dani“);</w:t>
      </w:r>
    </w:p>
    <w:p w14:paraId="10F81D82" w14:textId="191AB91D"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4.2.6</w:t>
      </w:r>
      <w:r>
        <w:rPr>
          <w:rFonts w:ascii="Arial Narrow" w:hAnsi="Arial Narrow" w:cs="Times New Roman"/>
          <w:lang w:eastAsia="de-DE"/>
        </w:rPr>
        <w:tab/>
      </w:r>
      <w:r w:rsidRPr="002C6B2E">
        <w:rPr>
          <w:rFonts w:ascii="Arial Narrow" w:hAnsi="Arial Narrow" w:cs="Times New Roman"/>
          <w:lang w:eastAsia="de-DE"/>
        </w:rPr>
        <w:t xml:space="preserve">daň z pridanej hodnoty (ďalej len „DPH“) podľa zákona č. 222/2004 Z. z. o dani z pridanej hodnoty </w:t>
      </w:r>
      <w:bookmarkStart w:id="12" w:name="OLE_LINK57"/>
      <w:r w:rsidRPr="002C6B2E">
        <w:rPr>
          <w:rFonts w:ascii="Arial Narrow" w:hAnsi="Arial Narrow" w:cs="Times New Roman"/>
          <w:lang w:eastAsia="de-DE"/>
        </w:rPr>
        <w:t>v znení platnom a účinnom v čase uskutočnenia zdaniteľného plnenia (ďalej ako „Zákon o DPH“)</w:t>
      </w:r>
      <w:bookmarkEnd w:id="12"/>
      <w:r w:rsidRPr="002C6B2E">
        <w:rPr>
          <w:rFonts w:ascii="Arial Narrow" w:hAnsi="Arial Narrow" w:cs="Times New Roman"/>
          <w:lang w:eastAsia="de-DE"/>
        </w:rPr>
        <w:t>.</w:t>
      </w:r>
    </w:p>
    <w:p w14:paraId="1990C425" w14:textId="19AD85CB" w:rsidR="002C6B2E" w:rsidRPr="002C6B2E" w:rsidRDefault="002C6B2E" w:rsidP="002C6B2E">
      <w:pPr>
        <w:pStyle w:val="Zoznam2"/>
        <w:widowControl w:val="0"/>
        <w:numPr>
          <w:ilvl w:val="1"/>
          <w:numId w:val="0"/>
        </w:numPr>
        <w:spacing w:before="240" w:after="120" w:line="240" w:lineRule="auto"/>
        <w:ind w:left="578" w:hanging="578"/>
        <w:contextualSpacing w:val="0"/>
        <w:jc w:val="both"/>
        <w:rPr>
          <w:rFonts w:ascii="Arial Narrow" w:hAnsi="Arial Narrow" w:cs="Times New Roman"/>
          <w:lang w:eastAsia="de-DE"/>
        </w:rPr>
      </w:pPr>
      <w:r>
        <w:rPr>
          <w:rFonts w:ascii="Arial Narrow" w:hAnsi="Arial Narrow" w:cs="Times New Roman"/>
          <w:lang w:eastAsia="de-DE"/>
        </w:rPr>
        <w:t>4.3</w:t>
      </w:r>
      <w:r>
        <w:rPr>
          <w:rFonts w:ascii="Arial Narrow" w:hAnsi="Arial Narrow" w:cs="Times New Roman"/>
          <w:lang w:eastAsia="de-DE"/>
        </w:rPr>
        <w:tab/>
      </w:r>
      <w:r w:rsidRPr="002C6B2E">
        <w:rPr>
          <w:rFonts w:ascii="Arial Narrow" w:hAnsi="Arial Narrow" w:cs="Times New Roman"/>
          <w:lang w:eastAsia="de-DE"/>
        </w:rPr>
        <w:t>Fakturácia</w:t>
      </w:r>
    </w:p>
    <w:p w14:paraId="61C17098" w14:textId="5D34F8EA"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4.3.1</w:t>
      </w:r>
      <w:r>
        <w:rPr>
          <w:rFonts w:ascii="Arial Narrow" w:hAnsi="Arial Narrow" w:cs="Times New Roman"/>
          <w:lang w:eastAsia="de-DE"/>
        </w:rPr>
        <w:tab/>
      </w:r>
      <w:r w:rsidRPr="002C6B2E">
        <w:rPr>
          <w:rFonts w:ascii="Arial Narrow" w:hAnsi="Arial Narrow" w:cs="Times New Roman"/>
          <w:lang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5509570D" w14:textId="182B53FD"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4.3.2</w:t>
      </w:r>
      <w:r>
        <w:rPr>
          <w:rFonts w:ascii="Arial Narrow" w:hAnsi="Arial Narrow" w:cs="Times New Roman"/>
          <w:lang w:eastAsia="de-DE"/>
        </w:rPr>
        <w:tab/>
      </w:r>
      <w:r w:rsidRPr="002C6B2E">
        <w:rPr>
          <w:rFonts w:ascii="Arial Narrow" w:hAnsi="Arial Narrow" w:cs="Times New Roman"/>
          <w:lang w:eastAsia="de-DE"/>
        </w:rPr>
        <w:t>Fakturačné obdobie je obdobie, za ktoré Poskytovateľ vykonáva zúčtovanie skutočnej spotreby elektriny Objednávateľa, ktorý je stanovený príslušným PDS a je ním spravidla kalendárny mesiac alebo kalendárny rok (ďalej ako „Fakturačné obdobie“).</w:t>
      </w:r>
    </w:p>
    <w:p w14:paraId="625D73C6" w14:textId="5ECC0C3E" w:rsidR="002C6B2E" w:rsidRPr="002C6B2E" w:rsidRDefault="002C6B2E"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4.3.3</w:t>
      </w:r>
      <w:r>
        <w:rPr>
          <w:rFonts w:ascii="Arial Narrow" w:hAnsi="Arial Narrow" w:cs="Times New Roman"/>
          <w:lang w:eastAsia="de-DE"/>
        </w:rPr>
        <w:tab/>
      </w:r>
      <w:r w:rsidRPr="002C6B2E">
        <w:rPr>
          <w:rFonts w:ascii="Arial Narrow" w:hAnsi="Arial Narrow" w:cs="Times New Roman"/>
          <w:lang w:eastAsia="de-DE"/>
        </w:rPr>
        <w:t xml:space="preserve">Poskytovateľ vystaví faktúru za Zmluvné plnenie vždy k poslednému dňu každého Fakturačného obdobia. </w:t>
      </w:r>
    </w:p>
    <w:p w14:paraId="362F5BE8" w14:textId="3167E7F3"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lastRenderedPageBreak/>
        <w:t>4.3.4</w:t>
      </w:r>
      <w:r>
        <w:rPr>
          <w:rFonts w:ascii="Arial Narrow" w:hAnsi="Arial Narrow" w:cs="Times New Roman"/>
          <w:lang w:eastAsia="de-DE"/>
        </w:rPr>
        <w:tab/>
      </w:r>
      <w:r w:rsidR="002C6B2E" w:rsidRPr="002C6B2E">
        <w:rPr>
          <w:rFonts w:ascii="Arial Narrow" w:hAnsi="Arial Narrow" w:cs="Times New Roman"/>
          <w:lang w:eastAsia="de-DE"/>
        </w:rPr>
        <w:t>Objednávateľ bude uhrádzať Poskytovateľovi mesačné preddavky na cenu plnenia predmetu tejto Zmluvy (ďalej ako „Preddavky“) podľa Prílohy č. 6 tejto Zmluvy.</w:t>
      </w:r>
    </w:p>
    <w:p w14:paraId="51E5991D" w14:textId="2E08132E"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bookmarkStart w:id="13" w:name="_Ref115343686"/>
      <w:r>
        <w:rPr>
          <w:rFonts w:ascii="Arial Narrow" w:hAnsi="Arial Narrow" w:cs="Times New Roman"/>
          <w:lang w:eastAsia="de-DE"/>
        </w:rPr>
        <w:t>4.3.5</w:t>
      </w:r>
      <w:r>
        <w:rPr>
          <w:rFonts w:ascii="Arial Narrow" w:hAnsi="Arial Narrow" w:cs="Times New Roman"/>
          <w:lang w:eastAsia="de-DE"/>
        </w:rPr>
        <w:tab/>
      </w:r>
      <w:r w:rsidR="002C6B2E" w:rsidRPr="002C6B2E">
        <w:rPr>
          <w:rFonts w:ascii="Arial Narrow" w:hAnsi="Arial Narrow" w:cs="Times New Roman"/>
          <w:lang w:eastAsia="de-DE"/>
        </w:rPr>
        <w:t>Faktúry budú vyhotovované osobitne pre jednotlivé skupiny Odberných miest  v prílohe č. 2.</w:t>
      </w:r>
    </w:p>
    <w:p w14:paraId="702FD276" w14:textId="54107A05"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bookmarkStart w:id="14" w:name="_Ref134176616"/>
      <w:r>
        <w:rPr>
          <w:rFonts w:ascii="Arial Narrow" w:hAnsi="Arial Narrow" w:cs="Times New Roman"/>
          <w:lang w:eastAsia="de-DE"/>
        </w:rPr>
        <w:t>4.3.6</w:t>
      </w:r>
      <w:r>
        <w:rPr>
          <w:rFonts w:ascii="Arial Narrow" w:hAnsi="Arial Narrow" w:cs="Times New Roman"/>
          <w:lang w:eastAsia="de-DE"/>
        </w:rPr>
        <w:tab/>
      </w:r>
      <w:r w:rsidR="002C6B2E" w:rsidRPr="002C6B2E">
        <w:rPr>
          <w:rFonts w:ascii="Arial Narrow" w:hAnsi="Arial Narrow" w:cs="Times New Roman"/>
          <w:lang w:eastAsia="de-DE"/>
        </w:rPr>
        <w:t>Vo faktúre Poskytovateľ zohľadní zaplatené Preddavky.</w:t>
      </w:r>
      <w:bookmarkEnd w:id="13"/>
      <w:bookmarkEnd w:id="14"/>
    </w:p>
    <w:p w14:paraId="75A9EC67" w14:textId="2EF3DBD8"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4.3.7</w:t>
      </w:r>
      <w:r>
        <w:rPr>
          <w:rFonts w:ascii="Arial Narrow" w:hAnsi="Arial Narrow" w:cs="Times New Roman"/>
          <w:lang w:eastAsia="de-DE"/>
        </w:rPr>
        <w:tab/>
      </w:r>
      <w:r w:rsidR="002C6B2E" w:rsidRPr="002C6B2E">
        <w:rPr>
          <w:rFonts w:ascii="Arial Narrow" w:hAnsi="Arial Narrow" w:cs="Times New Roman"/>
          <w:lang w:eastAsia="de-DE"/>
        </w:rPr>
        <w:t>Faktúra vystavená Poskytovateľom bude obsahovať náležitosti podľa Zákona o DPH a podľa ostatných daňových a účtovných predpisov vrátane informácie podľa Zákona o energetike.</w:t>
      </w:r>
    </w:p>
    <w:p w14:paraId="12DF2F38" w14:textId="308448FB"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bookmarkStart w:id="15" w:name="_Ref134176775"/>
      <w:r>
        <w:rPr>
          <w:rFonts w:ascii="Arial Narrow" w:hAnsi="Arial Narrow" w:cs="Times New Roman"/>
          <w:lang w:eastAsia="de-DE"/>
        </w:rPr>
        <w:t>4.3.8</w:t>
      </w:r>
      <w:r>
        <w:rPr>
          <w:rFonts w:ascii="Arial Narrow" w:hAnsi="Arial Narrow" w:cs="Times New Roman"/>
          <w:lang w:eastAsia="de-DE"/>
        </w:rPr>
        <w:tab/>
      </w:r>
      <w:r w:rsidR="002C6B2E" w:rsidRPr="002C6B2E">
        <w:rPr>
          <w:rFonts w:ascii="Arial Narrow" w:hAnsi="Arial Narrow" w:cs="Times New Roman"/>
          <w:lang w:eastAsia="de-DE"/>
        </w:rPr>
        <w:t>Lehota splatnosti faktúry Poskytovateľa je tridsať (30</w:t>
      </w:r>
      <w:r w:rsidR="00653A95">
        <w:rPr>
          <w:rFonts w:ascii="Arial Narrow" w:hAnsi="Arial Narrow" w:cs="Times New Roman"/>
          <w:lang w:eastAsia="de-DE"/>
        </w:rPr>
        <w:t>)</w:t>
      </w:r>
      <w:r w:rsidR="002C6B2E" w:rsidRPr="002C6B2E">
        <w:rPr>
          <w:rFonts w:ascii="Arial Narrow" w:hAnsi="Arial Narrow" w:cs="Times New Roman"/>
          <w:lang w:eastAsia="de-DE"/>
        </w:rPr>
        <w:t xml:space="preserve"> dní odo dňa doručenia faktúry Objednávateľovi.</w:t>
      </w:r>
      <w:bookmarkEnd w:id="15"/>
      <w:r w:rsidR="002C6B2E" w:rsidRPr="002C6B2E">
        <w:rPr>
          <w:rFonts w:ascii="Arial Narrow" w:hAnsi="Arial Narrow" w:cs="Times New Roman"/>
          <w:lang w:eastAsia="de-DE"/>
        </w:rPr>
        <w:t xml:space="preserve"> </w:t>
      </w:r>
    </w:p>
    <w:p w14:paraId="17233E4E" w14:textId="1F84C0E0"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4.3.9</w:t>
      </w:r>
      <w:r>
        <w:rPr>
          <w:rFonts w:ascii="Arial Narrow" w:hAnsi="Arial Narrow" w:cs="Times New Roman"/>
          <w:lang w:eastAsia="de-DE"/>
        </w:rPr>
        <w:tab/>
      </w:r>
      <w:r w:rsidR="002C6B2E" w:rsidRPr="002C6B2E">
        <w:rPr>
          <w:rFonts w:ascii="Arial Narrow" w:hAnsi="Arial Narrow" w:cs="Times New Roman"/>
          <w:lang w:eastAsia="de-DE"/>
        </w:rPr>
        <w:t>Lehota pre doručenie faktúr je pätnásť (15) dní od ukončenia príslušného Fakturačného obdobia.</w:t>
      </w:r>
    </w:p>
    <w:p w14:paraId="3E19EA56" w14:textId="30D123B3"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4.3.10</w:t>
      </w:r>
      <w:r>
        <w:rPr>
          <w:rFonts w:ascii="Arial Narrow" w:hAnsi="Arial Narrow" w:cs="Times New Roman"/>
          <w:lang w:eastAsia="de-DE"/>
        </w:rPr>
        <w:tab/>
      </w:r>
      <w:r w:rsidR="002C6B2E" w:rsidRPr="002C6B2E">
        <w:rPr>
          <w:rFonts w:ascii="Arial Narrow" w:hAnsi="Arial Narrow" w:cs="Times New Roman"/>
          <w:lang w:eastAsia="de-DE"/>
        </w:rPr>
        <w:t>Ak predložená faktúra nebude vystavená v súlade s touto Zmluvou, Objednávateľ ju bezodkladne vráti Poskytovateľovi na prepracovanie. Opravená faktúra je splatná do pätnástich (15) kalendárnych dní odo dňa jej opätovného doručenia Objednávateľovi.</w:t>
      </w:r>
    </w:p>
    <w:p w14:paraId="033FC155" w14:textId="4D4BA62D" w:rsidR="002C6B2E" w:rsidRPr="002C6B2E" w:rsidRDefault="006F7DE7" w:rsidP="002C6B2E">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4.3.11</w:t>
      </w:r>
      <w:r>
        <w:rPr>
          <w:rFonts w:ascii="Arial Narrow" w:hAnsi="Arial Narrow" w:cs="Times New Roman"/>
          <w:lang w:eastAsia="de-DE"/>
        </w:rPr>
        <w:tab/>
      </w:r>
      <w:r w:rsidR="002C6B2E" w:rsidRPr="002C6B2E">
        <w:rPr>
          <w:rFonts w:ascii="Arial Narrow" w:hAnsi="Arial Narrow" w:cs="Times New Roman"/>
          <w:lang w:eastAsia="de-DE"/>
        </w:rPr>
        <w:t>Všetky faktúry a Preddavky budú uhrádzané výhradne bezhotovostne. Odplata sa považuje za uhradenú dňom odpísania finančných prostriedkov z bankového účtu Objednávateľa.</w:t>
      </w:r>
    </w:p>
    <w:p w14:paraId="128E42C9" w14:textId="77777777" w:rsidR="006F7DE7" w:rsidRDefault="006F7DE7" w:rsidP="006F7DE7">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4.3.12</w:t>
      </w:r>
      <w:r>
        <w:rPr>
          <w:rFonts w:ascii="Arial Narrow" w:hAnsi="Arial Narrow" w:cs="Times New Roman"/>
          <w:lang w:eastAsia="de-DE"/>
        </w:rPr>
        <w:tab/>
      </w:r>
      <w:r w:rsidR="002C6B2E" w:rsidRPr="002C6B2E">
        <w:rPr>
          <w:rFonts w:ascii="Arial Narrow" w:hAnsi="Arial Narrow" w:cs="Times New Roman"/>
          <w:lang w:eastAsia="de-DE"/>
        </w:rPr>
        <w:t>Bankové spojenie Poskytovateľa uvedené na faktúre musí byť za každých okolností zhodné s bankovým spojením dohodnutým v tejto Zmluve.</w:t>
      </w:r>
    </w:p>
    <w:p w14:paraId="10424D56" w14:textId="5DF09488" w:rsidR="00F25778" w:rsidRPr="00AF3241" w:rsidRDefault="006F7DE7" w:rsidP="006F7DE7">
      <w:pPr>
        <w:pStyle w:val="Zoznam3"/>
        <w:widowControl w:val="0"/>
        <w:numPr>
          <w:ilvl w:val="2"/>
          <w:numId w:val="0"/>
        </w:numPr>
        <w:spacing w:before="120" w:after="120" w:line="240" w:lineRule="auto"/>
        <w:ind w:left="1276" w:hanging="720"/>
        <w:contextualSpacing w:val="0"/>
        <w:jc w:val="both"/>
        <w:rPr>
          <w:rFonts w:ascii="Arial Narrow" w:hAnsi="Arial Narrow" w:cs="Times New Roman"/>
          <w:lang w:eastAsia="de-DE"/>
        </w:rPr>
      </w:pPr>
      <w:r>
        <w:rPr>
          <w:rFonts w:ascii="Arial Narrow" w:hAnsi="Arial Narrow" w:cs="Times New Roman"/>
          <w:lang w:eastAsia="de-DE"/>
        </w:rPr>
        <w:t xml:space="preserve"> 4.3.13</w:t>
      </w:r>
      <w:r>
        <w:rPr>
          <w:rFonts w:ascii="Arial Narrow" w:hAnsi="Arial Narrow" w:cs="Times New Roman"/>
          <w:lang w:eastAsia="de-DE"/>
        </w:rPr>
        <w:tab/>
      </w:r>
      <w:r w:rsidR="002C6B2E" w:rsidRPr="002C6B2E">
        <w:rPr>
          <w:rFonts w:ascii="Arial Narrow" w:hAnsi="Arial Narrow" w:cs="Times New Roman"/>
          <w:lang w:eastAsia="de-DE"/>
        </w:rPr>
        <w:t xml:space="preserve">V prípade, že Objednávateľovi vznikne podľa bodu </w:t>
      </w:r>
      <w:r w:rsidR="002C6B2E" w:rsidRPr="002C6B2E">
        <w:rPr>
          <w:rFonts w:cs="Times New Roman"/>
          <w:bCs/>
          <w:lang w:eastAsia="de-DE"/>
        </w:rPr>
        <w:fldChar w:fldCharType="begin"/>
      </w:r>
      <w:r w:rsidR="002C6B2E" w:rsidRPr="002C6B2E">
        <w:rPr>
          <w:rFonts w:cs="Times New Roman"/>
          <w:bCs/>
          <w:lang w:eastAsia="de-DE"/>
        </w:rPr>
        <w:instrText xml:space="preserve"> REF _Ref134176616 \r \h  \* MERGEFORMAT </w:instrText>
      </w:r>
      <w:r w:rsidR="002C6B2E" w:rsidRPr="002C6B2E">
        <w:rPr>
          <w:rFonts w:cs="Times New Roman"/>
          <w:bCs/>
          <w:lang w:eastAsia="de-DE"/>
        </w:rPr>
      </w:r>
      <w:r w:rsidR="002C6B2E" w:rsidRPr="002C6B2E">
        <w:rPr>
          <w:rFonts w:cs="Times New Roman"/>
          <w:bCs/>
          <w:lang w:eastAsia="de-DE"/>
        </w:rPr>
        <w:fldChar w:fldCharType="separate"/>
      </w:r>
      <w:r w:rsidR="002C6B2E" w:rsidRPr="002C6B2E">
        <w:rPr>
          <w:rFonts w:cs="Times New Roman"/>
          <w:bCs/>
          <w:lang w:eastAsia="de-DE"/>
        </w:rPr>
        <w:t>4.3.6</w:t>
      </w:r>
      <w:r w:rsidR="002C6B2E" w:rsidRPr="002C6B2E">
        <w:rPr>
          <w:rFonts w:cs="Times New Roman"/>
          <w:bCs/>
          <w:lang w:eastAsia="de-DE"/>
        </w:rPr>
        <w:fldChar w:fldCharType="end"/>
      </w:r>
      <w:r w:rsidR="002C6B2E" w:rsidRPr="002C6B2E">
        <w:rPr>
          <w:rFonts w:ascii="Arial Narrow" w:hAnsi="Arial Narrow" w:cs="Times New Roman"/>
          <w:lang w:eastAsia="de-DE"/>
        </w:rPr>
        <w:t xml:space="preserve"> tejto Zmluvy preplatok, Poskytovateľ</w:t>
      </w:r>
      <w:r w:rsidR="00653A95">
        <w:rPr>
          <w:rFonts w:ascii="Arial Narrow" w:hAnsi="Arial Narrow" w:cs="Times New Roman"/>
          <w:lang w:eastAsia="de-DE"/>
        </w:rPr>
        <w:t xml:space="preserve"> </w:t>
      </w:r>
      <w:r w:rsidR="002C6B2E" w:rsidRPr="002C6B2E">
        <w:rPr>
          <w:rFonts w:ascii="Arial Narrow" w:hAnsi="Arial Narrow" w:cs="Times New Roman"/>
          <w:lang w:eastAsia="de-DE"/>
        </w:rPr>
        <w:t>ho uhradí na účet Objednávateľa v lehote splatnosti faktúry.</w:t>
      </w:r>
    </w:p>
    <w:bookmarkEnd w:id="3"/>
    <w:p w14:paraId="59992F18" w14:textId="77777777" w:rsidR="00E21F64" w:rsidRPr="00AF3241"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7777777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Objednávateľ si môže uplatniť reklamáciu</w:t>
      </w:r>
      <w:r w:rsidR="00DD3317" w:rsidRPr="00AF3241">
        <w:rPr>
          <w:rFonts w:ascii="Arial Narrow" w:hAnsi="Arial Narrow" w:cs="Times New Roman"/>
        </w:rPr>
        <w:t xml:space="preserve"> u</w:t>
      </w:r>
      <w:r w:rsidRPr="00AF3241">
        <w:rPr>
          <w:rFonts w:ascii="Arial Narrow" w:hAnsi="Arial Narrow" w:cs="Times New Roman"/>
        </w:rPr>
        <w:t xml:space="preserve">: </w:t>
      </w:r>
      <w:r w:rsidR="00416894" w:rsidRPr="00AF3241">
        <w:rPr>
          <w:rFonts w:ascii="Arial Narrow" w:eastAsia="Arial Unicode MS" w:hAnsi="Arial Narrow" w:cs="Times New Roman"/>
          <w:highlight w:val="yellow"/>
        </w:rPr>
        <w:t>[ • ]</w:t>
      </w:r>
      <w:r w:rsidRPr="00AF3241">
        <w:rPr>
          <w:rFonts w:ascii="Arial Narrow" w:hAnsi="Arial Narrow" w:cs="Times New Roman"/>
        </w:rPr>
        <w:t xml:space="preserve">, </w:t>
      </w:r>
      <w:r w:rsidR="00416894" w:rsidRPr="00AF3241">
        <w:rPr>
          <w:rFonts w:ascii="Arial Narrow" w:eastAsia="Arial Unicode MS" w:hAnsi="Arial Narrow" w:cs="Times New Roman"/>
          <w:highlight w:val="yellow"/>
        </w:rPr>
        <w:t>[ • ]</w:t>
      </w:r>
      <w:r w:rsidR="00416894" w:rsidRPr="00AF3241">
        <w:rPr>
          <w:rFonts w:ascii="Arial Narrow" w:eastAsia="Arial Unicode MS" w:hAnsi="Arial Narrow" w:cs="Times New Roman"/>
        </w:rPr>
        <w:t xml:space="preserve"> </w:t>
      </w:r>
      <w:r w:rsidRPr="00AF3241">
        <w:rPr>
          <w:rFonts w:ascii="Arial Narrow" w:hAnsi="Arial Narrow" w:cs="Times New Roman"/>
        </w:rPr>
        <w:t xml:space="preserve">písomne na adrese: </w:t>
      </w:r>
      <w:r w:rsidR="00416894" w:rsidRPr="00AF3241">
        <w:rPr>
          <w:rFonts w:ascii="Arial Narrow" w:eastAsia="Arial Unicode MS" w:hAnsi="Arial Narrow" w:cs="Times New Roman"/>
          <w:highlight w:val="yellow"/>
        </w:rPr>
        <w:t>[ • ]</w:t>
      </w:r>
      <w:r w:rsidRPr="00AF3241">
        <w:rPr>
          <w:rFonts w:ascii="Arial Narrow" w:hAnsi="Arial Narrow" w:cs="Times New Roman"/>
        </w:rPr>
        <w:t xml:space="preserve"> e-mailom: </w:t>
      </w:r>
      <w:r w:rsidR="00416894" w:rsidRPr="00AF3241">
        <w:rPr>
          <w:rFonts w:ascii="Arial Narrow" w:eastAsia="Arial Unicode MS" w:hAnsi="Arial Narrow" w:cs="Times New Roman"/>
          <w:highlight w:val="yellow"/>
        </w:rPr>
        <w:t>[ • ]</w:t>
      </w:r>
      <w:r w:rsidR="00416894" w:rsidRPr="00AF3241">
        <w:rPr>
          <w:rFonts w:ascii="Arial Narrow" w:eastAsia="Arial Unicode MS" w:hAnsi="Arial Narrow" w:cs="Times New Roman"/>
        </w:rPr>
        <w:t>.</w:t>
      </w:r>
      <w:r w:rsidRPr="00AF3241">
        <w:rPr>
          <w:rFonts w:ascii="Arial Narrow" w:hAnsi="Arial Narrow" w:cs="Times New Roman"/>
        </w:rPr>
        <w:t xml:space="preserve"> </w:t>
      </w:r>
    </w:p>
    <w:p w14:paraId="29F0A18E" w14:textId="38CBAFF9" w:rsidR="00F25778" w:rsidRPr="00AF3241" w:rsidRDefault="00F25778" w:rsidP="00570382">
      <w:pPr>
        <w:pStyle w:val="Odsekzoznamu"/>
        <w:spacing w:after="0" w:line="240" w:lineRule="auto"/>
        <w:ind w:left="709"/>
        <w:rPr>
          <w:rFonts w:ascii="Arial Narrow" w:hAnsi="Arial Narrow" w:cs="Times New Roman"/>
        </w:rPr>
      </w:pPr>
    </w:p>
    <w:p w14:paraId="792ABC65" w14:textId="77777777" w:rsidR="000D5AF6" w:rsidRPr="00AF3241" w:rsidRDefault="000D5AF6" w:rsidP="00570382">
      <w:pPr>
        <w:pStyle w:val="Odsekzoznamu"/>
        <w:spacing w:after="0" w:line="240" w:lineRule="auto"/>
        <w:ind w:left="709"/>
        <w:rPr>
          <w:rFonts w:ascii="Arial Narrow" w:hAnsi="Arial Narrow" w:cs="Times New Roman"/>
        </w:rPr>
      </w:pPr>
    </w:p>
    <w:p w14:paraId="58CEDBCB" w14:textId="21A5322D" w:rsidR="00416894" w:rsidRPr="00AF3241" w:rsidRDefault="00416894"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6</w:t>
      </w:r>
    </w:p>
    <w:p w14:paraId="5982A1E4" w14:textId="530B27E3" w:rsidR="00416894" w:rsidRPr="00AF3241" w:rsidRDefault="00416894"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Povinnosti objednávateľa</w:t>
      </w:r>
    </w:p>
    <w:p w14:paraId="40AA8834" w14:textId="693804DC" w:rsidR="00416894" w:rsidRPr="00AF3241" w:rsidRDefault="00416894" w:rsidP="00570382">
      <w:pPr>
        <w:pStyle w:val="Odsekzoznamu"/>
        <w:spacing w:after="0" w:line="240" w:lineRule="auto"/>
        <w:ind w:left="709"/>
        <w:rPr>
          <w:rFonts w:ascii="Arial Narrow" w:hAnsi="Arial Narrow" w:cs="Times New Roman"/>
        </w:rPr>
      </w:pPr>
    </w:p>
    <w:p w14:paraId="378D4E39" w14:textId="16AE86F3" w:rsidR="00416894"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AF3241">
        <w:rPr>
          <w:rFonts w:ascii="Arial Narrow" w:hAnsi="Arial Narrow" w:cs="Times New Roman"/>
          <w:lang w:eastAsia="de-DE"/>
        </w:rPr>
        <w:t>Objednávateľ</w:t>
      </w:r>
      <w:r w:rsidRPr="00AF3241">
        <w:rPr>
          <w:rFonts w:ascii="Arial Narrow" w:hAnsi="Arial Narrow" w:cs="Times New Roman"/>
        </w:rPr>
        <w:t xml:space="preserve"> sa zaväzuje:</w:t>
      </w:r>
    </w:p>
    <w:p w14:paraId="407BDBDD" w14:textId="77777777" w:rsidR="002B256F" w:rsidRPr="00AF3241"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AF3241"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AF3241">
        <w:rPr>
          <w:rFonts w:ascii="Arial Narrow" w:hAnsi="Arial Narrow" w:cs="Times New Roman"/>
        </w:rPr>
        <w:t xml:space="preserve">bez zbytočného odkladu písomne informovať Poskytovateľa o všetkých skutočnostiach, ktoré majú podstatný význam pre poskytovanie Zmluvných </w:t>
      </w:r>
      <w:r w:rsidRPr="00AF3241">
        <w:rPr>
          <w:rFonts w:ascii="Arial Narrow" w:hAnsi="Arial Narrow" w:cs="Times New Roman"/>
          <w:lang w:eastAsia="de-DE"/>
        </w:rPr>
        <w:t>plnení</w:t>
      </w:r>
      <w:r w:rsidR="00AB7B30" w:rsidRPr="00AF3241">
        <w:rPr>
          <w:rFonts w:ascii="Arial Narrow" w:hAnsi="Arial Narrow" w:cs="Times New Roman"/>
          <w:lang w:eastAsia="de-DE"/>
        </w:rPr>
        <w:t>;</w:t>
      </w:r>
    </w:p>
    <w:p w14:paraId="3EE03A35" w14:textId="34428084" w:rsidR="00416894" w:rsidRPr="00AF3241"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AF3241">
        <w:rPr>
          <w:rFonts w:ascii="Arial Narrow" w:hAnsi="Arial Narrow" w:cs="Times New Roman"/>
        </w:rPr>
        <w:t xml:space="preserve">odovzdať Poskytovateľovi všetky dokumenty a poskytnúť mu všetky informácie, ktoré sú potrebné na poskytnutie Zmluvných </w:t>
      </w:r>
      <w:r w:rsidRPr="00AF3241">
        <w:rPr>
          <w:rFonts w:ascii="Arial Narrow" w:hAnsi="Arial Narrow" w:cs="Times New Roman"/>
          <w:lang w:eastAsia="de-DE"/>
        </w:rPr>
        <w:t>plnení</w:t>
      </w:r>
      <w:r w:rsidRPr="00AF3241">
        <w:rPr>
          <w:rFonts w:ascii="Arial Narrow" w:hAnsi="Arial Narrow" w:cs="Times New Roman"/>
        </w:rPr>
        <w:t>, pokiaľ z povahy týchto dokumentov/informácií a/alebo pokynov nevyplýva, že ich má obstarať Poskytovateľ</w:t>
      </w:r>
      <w:r w:rsidR="00AB7B30" w:rsidRPr="00AF3241">
        <w:rPr>
          <w:rFonts w:ascii="Arial Narrow" w:hAnsi="Arial Narrow" w:cs="Times New Roman"/>
          <w:lang w:eastAsia="de-DE"/>
        </w:rPr>
        <w:t>;</w:t>
      </w:r>
    </w:p>
    <w:p w14:paraId="3B25DC32" w14:textId="0127E088" w:rsidR="00416894" w:rsidRPr="00AF3241"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AF3241">
        <w:rPr>
          <w:rFonts w:ascii="Arial Narrow" w:hAnsi="Arial Narrow" w:cs="Times New Roman"/>
        </w:rPr>
        <w:t xml:space="preserve">bez zbytočného odkladu poskytnúť Poskytovateľovi všetku súčinnosť, ktorú je možné od Objednávateľa rozumne požadovať, na poskytnutie Zmluvných </w:t>
      </w:r>
      <w:r w:rsidRPr="00AF3241">
        <w:rPr>
          <w:rFonts w:ascii="Arial Narrow" w:hAnsi="Arial Narrow" w:cs="Times New Roman"/>
          <w:lang w:eastAsia="de-DE"/>
        </w:rPr>
        <w:t>plnení</w:t>
      </w:r>
      <w:r w:rsidRPr="00AF3241">
        <w:rPr>
          <w:rFonts w:ascii="Arial Narrow" w:hAnsi="Arial Narrow" w:cs="Times New Roman"/>
        </w:rPr>
        <w:t>.</w:t>
      </w:r>
    </w:p>
    <w:p w14:paraId="367D34F2" w14:textId="77777777" w:rsidR="00416894" w:rsidRPr="00AF3241" w:rsidRDefault="00416894" w:rsidP="00570382">
      <w:pPr>
        <w:spacing w:after="0" w:line="240" w:lineRule="auto"/>
        <w:ind w:left="709"/>
        <w:rPr>
          <w:rFonts w:ascii="Arial Narrow" w:hAnsi="Arial Narrow" w:cs="Times New Roman"/>
        </w:rPr>
      </w:pPr>
    </w:p>
    <w:p w14:paraId="7CDC3778" w14:textId="77777777" w:rsidR="00416894" w:rsidRPr="00AF3241" w:rsidRDefault="00416894" w:rsidP="00570382">
      <w:pPr>
        <w:pStyle w:val="Odsekzoznamu"/>
        <w:spacing w:after="0" w:line="240" w:lineRule="auto"/>
        <w:ind w:left="709"/>
        <w:rPr>
          <w:rFonts w:ascii="Arial Narrow" w:hAnsi="Arial Narrow" w:cs="Times New Roman"/>
        </w:rPr>
      </w:pPr>
    </w:p>
    <w:p w14:paraId="2748E6EA" w14:textId="48A16C7D" w:rsidR="00416894" w:rsidRPr="00AF3241" w:rsidRDefault="00416894"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7</w:t>
      </w:r>
    </w:p>
    <w:p w14:paraId="32CF5D46" w14:textId="429E5D79" w:rsidR="00416894" w:rsidRPr="00AF3241" w:rsidRDefault="00AB7B30"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Trvanie a ukončenie Zmluvy </w:t>
      </w:r>
    </w:p>
    <w:p w14:paraId="251F6130" w14:textId="77777777" w:rsidR="00416894" w:rsidRPr="00AF3241" w:rsidRDefault="00416894" w:rsidP="00570382">
      <w:pPr>
        <w:pStyle w:val="Odsekzoznamu"/>
        <w:spacing w:after="0" w:line="240" w:lineRule="auto"/>
        <w:ind w:left="709"/>
        <w:rPr>
          <w:rFonts w:ascii="Arial Narrow" w:hAnsi="Arial Narrow" w:cs="Times New Roman"/>
        </w:rPr>
      </w:pPr>
    </w:p>
    <w:p w14:paraId="648C5EC6" w14:textId="71B892C0"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Táto Z</w:t>
      </w:r>
      <w:r w:rsidR="002848BB" w:rsidRPr="00AF3241">
        <w:rPr>
          <w:rFonts w:ascii="Arial Narrow" w:hAnsi="Arial Narrow" w:cs="Times New Roman"/>
        </w:rPr>
        <w:t xml:space="preserve">mluva sa uzatvára na dobu určitú, na obdobie od </w:t>
      </w:r>
      <w:r w:rsidR="002848BB" w:rsidRPr="003E3DEF">
        <w:rPr>
          <w:rFonts w:ascii="Arial Narrow" w:hAnsi="Arial Narrow" w:cs="Times New Roman"/>
        </w:rPr>
        <w:t>01.01.202</w:t>
      </w:r>
      <w:r w:rsidR="0009510B" w:rsidRPr="003E3DEF">
        <w:rPr>
          <w:rFonts w:ascii="Arial Narrow" w:hAnsi="Arial Narrow" w:cs="Times New Roman"/>
        </w:rPr>
        <w:t>5</w:t>
      </w:r>
      <w:r w:rsidR="002848BB" w:rsidRPr="00AF3241">
        <w:rPr>
          <w:rFonts w:ascii="Arial Narrow" w:hAnsi="Arial Narrow" w:cs="Times New Roman"/>
        </w:rPr>
        <w:t xml:space="preserve"> do </w:t>
      </w:r>
      <w:r w:rsidR="002848BB" w:rsidRPr="003E3DEF">
        <w:rPr>
          <w:rFonts w:ascii="Arial Narrow" w:hAnsi="Arial Narrow" w:cs="Times New Roman"/>
        </w:rPr>
        <w:t>31.12.202</w:t>
      </w:r>
      <w:r w:rsidR="0009510B" w:rsidRPr="003E3DEF">
        <w:rPr>
          <w:rFonts w:ascii="Arial Narrow" w:hAnsi="Arial Narrow" w:cs="Times New Roman"/>
        </w:rPr>
        <w:t>5</w:t>
      </w:r>
      <w:r w:rsidR="002848BB" w:rsidRPr="00AF3241">
        <w:rPr>
          <w:rFonts w:ascii="Arial Narrow" w:hAnsi="Arial Narrow" w:cs="Times New Roman"/>
        </w:rPr>
        <w:t xml:space="preserve">. </w:t>
      </w:r>
    </w:p>
    <w:p w14:paraId="037162A4" w14:textId="77777777" w:rsidR="00AB7B30" w:rsidRPr="00AF3241"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509B4630"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0DD1A38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BEA76DE" w:rsidR="00AB7B30" w:rsidRPr="0009510B"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9510B">
        <w:rPr>
          <w:rFonts w:ascii="Arial Narrow" w:hAnsi="Arial Narrow" w:cs="Times New Roman"/>
        </w:rPr>
        <w:t xml:space="preserve">ak táto </w:t>
      </w:r>
      <w:r w:rsidR="00A42BE3" w:rsidRPr="0009510B">
        <w:rPr>
          <w:rFonts w:ascii="Arial Narrow" w:hAnsi="Arial Narrow" w:cs="Times New Roman"/>
        </w:rPr>
        <w:t xml:space="preserve">Zmluva </w:t>
      </w:r>
      <w:r w:rsidRPr="0009510B">
        <w:rPr>
          <w:rFonts w:ascii="Arial Narrow" w:hAnsi="Arial Narrow" w:cs="Times New Roman"/>
        </w:rPr>
        <w:t>nemala byť uzavretá s</w:t>
      </w:r>
      <w:r w:rsidR="002B256F" w:rsidRPr="0009510B">
        <w:rPr>
          <w:rFonts w:ascii="Arial Narrow" w:hAnsi="Arial Narrow" w:cs="Times New Roman"/>
        </w:rPr>
        <w:t> Poskytovateľom</w:t>
      </w:r>
      <w:r w:rsidRPr="0009510B">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09510B">
        <w:rPr>
          <w:rFonts w:ascii="Arial Narrow" w:hAnsi="Arial Narrow" w:cs="Times New Roman"/>
          <w:lang w:eastAsia="de-DE"/>
        </w:rPr>
        <w:t>;</w:t>
      </w:r>
    </w:p>
    <w:p w14:paraId="7B469C6E" w14:textId="0DCC8FFC"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sidR="002B256F">
        <w:rPr>
          <w:rFonts w:ascii="Arial Narrow" w:hAnsi="Arial Narrow" w:cs="Times New Roman"/>
        </w:rPr>
        <w:t>Poskytovateľ</w:t>
      </w:r>
      <w:r w:rsidRPr="00AF3241">
        <w:rPr>
          <w:rFonts w:ascii="Arial Narrow" w:hAnsi="Arial Narrow" w:cs="Times New Roman"/>
        </w:rPr>
        <w:t xml:space="preserve"> nebol v čase uzavretia </w:t>
      </w:r>
      <w:r w:rsidR="00A42BE3" w:rsidRPr="00AF3241">
        <w:rPr>
          <w:rFonts w:ascii="Arial Narrow" w:hAnsi="Arial Narrow" w:cs="Times New Roman"/>
        </w:rPr>
        <w:t>Zmluvy</w:t>
      </w:r>
      <w:r w:rsidRPr="00AF3241">
        <w:rPr>
          <w:rFonts w:ascii="Arial Narrow" w:hAnsi="Arial Narrow" w:cs="Times New Roman"/>
        </w:rPr>
        <w:t xml:space="preserve"> zapísaný v registri partnerov verejného sektora podľa zákona č.</w:t>
      </w:r>
      <w:r w:rsidR="002B256F">
        <w:rPr>
          <w:rFonts w:ascii="Arial Narrow" w:hAnsi="Arial Narrow" w:cs="Times New Roman"/>
        </w:rPr>
        <w:t xml:space="preserve"> </w:t>
      </w:r>
      <w:r w:rsidRPr="00AF3241">
        <w:rPr>
          <w:rFonts w:ascii="Arial Narrow" w:hAnsi="Arial Narrow" w:cs="Times New Roman"/>
        </w:rPr>
        <w:t>315/2016 Z.</w:t>
      </w:r>
      <w:r w:rsidR="002B256F">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p>
    <w:p w14:paraId="5EEC12E2" w14:textId="77777777" w:rsidR="00AB7B30" w:rsidRPr="00AF3241" w:rsidRDefault="00AB7B30" w:rsidP="00570382">
      <w:pPr>
        <w:spacing w:after="0" w:line="240" w:lineRule="auto"/>
        <w:rPr>
          <w:rFonts w:ascii="Arial Narrow" w:hAnsi="Arial Narrow" w:cs="Times New Roman"/>
        </w:rPr>
      </w:pPr>
    </w:p>
    <w:p w14:paraId="219D49BC" w14:textId="2B1B74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 xml:space="preserve">v prípade, 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30 dní po lehote splatnosti faktúry</w:t>
      </w:r>
      <w:r w:rsidR="00A42BE3" w:rsidRPr="00AF3241">
        <w:rPr>
          <w:rFonts w:ascii="Arial Narrow" w:hAnsi="Arial Narrow" w:cs="Times New Roman"/>
        </w:rPr>
        <w:t>,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142FC7BC"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vznikli nezávisle od vôle povinnej zmluvnej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1FDBBBCC"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lehotou </w:t>
      </w:r>
      <w:r w:rsidR="00A42BE3" w:rsidRPr="00AF3241">
        <w:rPr>
          <w:rFonts w:ascii="Arial Narrow" w:hAnsi="Arial Narrow" w:cs="Times New Roman"/>
        </w:rPr>
        <w:t xml:space="preserve">šesť </w:t>
      </w:r>
      <w:r w:rsidRPr="00AF3241">
        <w:rPr>
          <w:rFonts w:ascii="Arial Narrow" w:hAnsi="Arial Narrow" w:cs="Times New Roman"/>
        </w:rPr>
        <w:t>(6) mesiacov. Výpovedná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2F63B04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zanikajú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1E6F98D3" w14:textId="778A5FD4" w:rsidR="00281C0D" w:rsidRPr="00AF3241"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AF3241"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201FCAE4" w14:textId="77777777" w:rsidR="00281C0D" w:rsidRPr="00AF3241" w:rsidRDefault="00281C0D" w:rsidP="00570382">
      <w:pPr>
        <w:pStyle w:val="Odsekzoznamu"/>
        <w:numPr>
          <w:ilvl w:val="2"/>
          <w:numId w:val="21"/>
        </w:numPr>
        <w:spacing w:after="0" w:line="240" w:lineRule="auto"/>
        <w:ind w:left="1418"/>
        <w:jc w:val="both"/>
        <w:rPr>
          <w:rFonts w:ascii="Arial Narrow" w:hAnsi="Arial Narrow" w:cs="Times New Roman"/>
          <w:b/>
          <w:bCs/>
        </w:rPr>
      </w:pPr>
      <w:r w:rsidRPr="00AF3241">
        <w:rPr>
          <w:rFonts w:ascii="Arial Narrow" w:hAnsi="Arial Narrow" w:cs="Times New Roman"/>
        </w:rPr>
        <w:t>Ministerstvo vnútra Slovenskej republiky</w:t>
      </w:r>
    </w:p>
    <w:p w14:paraId="476A5B7F" w14:textId="77777777" w:rsidR="00281C0D" w:rsidRPr="00AF3241" w:rsidRDefault="00281C0D" w:rsidP="00570382">
      <w:pPr>
        <w:pStyle w:val="Odsekzoznamu"/>
        <w:spacing w:after="0" w:line="240" w:lineRule="auto"/>
        <w:ind w:left="1418"/>
        <w:jc w:val="both"/>
        <w:rPr>
          <w:rFonts w:ascii="Arial Narrow" w:hAnsi="Arial Narrow" w:cs="Times New Roman"/>
        </w:rPr>
      </w:pPr>
      <w:r w:rsidRPr="00AF3241">
        <w:rPr>
          <w:rFonts w:ascii="Arial Narrow" w:hAnsi="Arial Narrow" w:cs="Times New Roman"/>
        </w:rPr>
        <w:t xml:space="preserve">Pribinova 2, 812 72 Bratislava – Staré Mesto, Slovenská republika </w:t>
      </w:r>
    </w:p>
    <w:p w14:paraId="38DE77D8" w14:textId="043FBCE5" w:rsidR="00281C0D" w:rsidRPr="00AF3241" w:rsidRDefault="00281C0D" w:rsidP="00570382">
      <w:pPr>
        <w:pStyle w:val="Odsekzoznamu"/>
        <w:spacing w:after="0" w:line="240" w:lineRule="auto"/>
        <w:ind w:left="1418"/>
        <w:jc w:val="both"/>
        <w:rPr>
          <w:rFonts w:ascii="Arial Narrow" w:hAnsi="Arial Narrow" w:cs="Times New Roman"/>
        </w:rPr>
      </w:pPr>
      <w:r w:rsidRPr="00AF3241">
        <w:rPr>
          <w:rFonts w:ascii="Arial Narrow" w:hAnsi="Arial Narrow" w:cs="Times New Roman"/>
        </w:rPr>
        <w:t xml:space="preserve">k rukám: </w:t>
      </w:r>
      <w:r w:rsidRPr="00AF3241">
        <w:rPr>
          <w:rFonts w:ascii="Arial Narrow" w:eastAsia="Arial Unicode MS" w:hAnsi="Arial Narrow" w:cs="Times New Roman"/>
          <w:highlight w:val="yellow"/>
        </w:rPr>
        <w:t>[ • ]</w:t>
      </w:r>
    </w:p>
    <w:p w14:paraId="5F55150C" w14:textId="1BB2786D" w:rsidR="00281C0D" w:rsidRPr="00AF3241" w:rsidRDefault="00281C0D" w:rsidP="00570382">
      <w:pPr>
        <w:pStyle w:val="Odsekzoznamu"/>
        <w:spacing w:after="0" w:line="240" w:lineRule="auto"/>
        <w:ind w:left="1418"/>
        <w:jc w:val="both"/>
        <w:rPr>
          <w:rFonts w:ascii="Arial Narrow" w:hAnsi="Arial Narrow" w:cs="Times New Roman"/>
          <w:b/>
          <w:bCs/>
        </w:rPr>
      </w:pPr>
      <w:r w:rsidRPr="00AF3241">
        <w:rPr>
          <w:rFonts w:ascii="Arial Narrow" w:hAnsi="Arial Narrow" w:cs="Times New Roman"/>
        </w:rPr>
        <w:t xml:space="preserve">email: </w:t>
      </w:r>
      <w:r w:rsidRPr="00AF3241">
        <w:rPr>
          <w:rFonts w:ascii="Arial Narrow" w:eastAsia="Arial Unicode MS" w:hAnsi="Arial Narrow" w:cs="Times New Roman"/>
          <w:highlight w:val="yellow"/>
        </w:rPr>
        <w:t>[ • ]</w:t>
      </w:r>
    </w:p>
    <w:p w14:paraId="77B8BF60" w14:textId="4E1C1630" w:rsidR="00281C0D" w:rsidRPr="00AF3241" w:rsidRDefault="00281C0D" w:rsidP="00570382">
      <w:pPr>
        <w:spacing w:after="0" w:line="240" w:lineRule="auto"/>
        <w:jc w:val="both"/>
        <w:rPr>
          <w:rFonts w:ascii="Arial Narrow" w:hAnsi="Arial Narrow" w:cs="Times New Roman"/>
          <w:b/>
          <w:bCs/>
        </w:rPr>
      </w:pPr>
    </w:p>
    <w:p w14:paraId="268C0BE7" w14:textId="73E52731"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4BD11D78" w14:textId="3F510C89" w:rsidR="00281C0D" w:rsidRPr="00AF3241" w:rsidRDefault="00281C0D"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eastAsia="Arial Unicode MS" w:hAnsi="Arial Narrow" w:cs="Times New Roman"/>
          <w:highlight w:val="yellow"/>
        </w:rPr>
        <w:t>[ • ]</w:t>
      </w:r>
    </w:p>
    <w:p w14:paraId="235AC8ED" w14:textId="24FC0DDA" w:rsidR="00281C0D" w:rsidRPr="00AF3241" w:rsidRDefault="00281C0D" w:rsidP="00570382">
      <w:pPr>
        <w:pStyle w:val="Odsekzoznamu"/>
        <w:spacing w:after="0" w:line="240" w:lineRule="auto"/>
        <w:ind w:left="1418"/>
        <w:jc w:val="both"/>
        <w:rPr>
          <w:rFonts w:ascii="Arial Narrow" w:eastAsia="Arial Unicode MS" w:hAnsi="Arial Narrow" w:cs="Times New Roman"/>
        </w:rPr>
      </w:pPr>
      <w:r w:rsidRPr="00AF3241">
        <w:rPr>
          <w:rFonts w:ascii="Arial Narrow" w:eastAsia="Arial Unicode MS" w:hAnsi="Arial Narrow" w:cs="Times New Roman"/>
          <w:highlight w:val="yellow"/>
        </w:rPr>
        <w:t>[ • ]</w:t>
      </w:r>
    </w:p>
    <w:p w14:paraId="74AC1E43" w14:textId="13CBB118" w:rsidR="00281C0D" w:rsidRPr="00AF3241" w:rsidRDefault="00281C0D" w:rsidP="00570382">
      <w:pPr>
        <w:pStyle w:val="Odsekzoznamu"/>
        <w:spacing w:after="0" w:line="240" w:lineRule="auto"/>
        <w:ind w:left="1418"/>
        <w:jc w:val="both"/>
        <w:rPr>
          <w:rFonts w:ascii="Arial Narrow" w:eastAsia="Arial Unicode MS" w:hAnsi="Arial Narrow" w:cs="Times New Roman"/>
        </w:rPr>
      </w:pPr>
      <w:r w:rsidRPr="00AF3241">
        <w:rPr>
          <w:rFonts w:ascii="Arial Narrow" w:eastAsia="Arial Unicode MS" w:hAnsi="Arial Narrow" w:cs="Times New Roman"/>
        </w:rPr>
        <w:t xml:space="preserve">k rukám: </w:t>
      </w:r>
      <w:r w:rsidRPr="00AF3241">
        <w:rPr>
          <w:rFonts w:ascii="Arial Narrow" w:eastAsia="Arial Unicode MS" w:hAnsi="Arial Narrow" w:cs="Times New Roman"/>
          <w:highlight w:val="yellow"/>
        </w:rPr>
        <w:t>[ • ]</w:t>
      </w:r>
    </w:p>
    <w:p w14:paraId="22C68E8B" w14:textId="25904F56" w:rsidR="00281C0D" w:rsidRPr="00AF3241" w:rsidRDefault="00281C0D" w:rsidP="00570382">
      <w:pPr>
        <w:pStyle w:val="Odsekzoznamu"/>
        <w:spacing w:after="0" w:line="240" w:lineRule="auto"/>
        <w:ind w:left="1418"/>
        <w:jc w:val="both"/>
        <w:rPr>
          <w:rFonts w:ascii="Arial Narrow" w:eastAsia="Arial Unicode MS" w:hAnsi="Arial Narrow" w:cs="Times New Roman"/>
        </w:rPr>
      </w:pPr>
      <w:r w:rsidRPr="00AF3241">
        <w:rPr>
          <w:rFonts w:ascii="Arial Narrow" w:eastAsia="Arial Unicode MS" w:hAnsi="Arial Narrow" w:cs="Times New Roman"/>
        </w:rPr>
        <w:t xml:space="preserve">e-mail: </w:t>
      </w:r>
      <w:r w:rsidRPr="00AF3241">
        <w:rPr>
          <w:rFonts w:ascii="Arial Narrow" w:eastAsia="Arial Unicode MS" w:hAnsi="Arial Narrow" w:cs="Times New Roman"/>
          <w:highlight w:val="yellow"/>
        </w:rPr>
        <w:t>[ • ]</w:t>
      </w:r>
    </w:p>
    <w:p w14:paraId="2C405363" w14:textId="2C0C8F24" w:rsidR="00281C0D" w:rsidRPr="00AF3241"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nadobúda účinnosť okamihom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lastRenderedPageBreak/>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29387A9A"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39C167D3" w:rsidR="008F7C9D" w:rsidRPr="00AF3241"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č.3 </w:t>
      </w:r>
      <w:r w:rsidRPr="00AF3241">
        <w:rPr>
          <w:rFonts w:ascii="Arial Narrow" w:hAnsi="Arial Narrow" w:cs="Times New Roman"/>
        </w:rPr>
        <w:tab/>
      </w:r>
      <w:r w:rsidR="00570382" w:rsidRPr="00AF3241">
        <w:rPr>
          <w:rFonts w:ascii="Arial Narrow" w:hAnsi="Arial Narrow" w:cs="Times New Roman"/>
        </w:rPr>
        <w:t>Cena,</w:t>
      </w:r>
      <w:r w:rsidRPr="00AF3241">
        <w:rPr>
          <w:rFonts w:ascii="Arial Narrow" w:hAnsi="Arial Narrow" w:cs="Times New Roman"/>
        </w:rPr>
        <w:t xml:space="preserve"> </w:t>
      </w:r>
      <w:r w:rsidR="008F7C9D" w:rsidRPr="00AF3241">
        <w:rPr>
          <w:rFonts w:ascii="Arial Narrow" w:hAnsi="Arial Narrow" w:cs="Times New Roman"/>
        </w:rPr>
        <w:t xml:space="preserve">Spôsob určenia Odplaty, </w:t>
      </w:r>
      <w:r w:rsidRPr="00AF3241">
        <w:rPr>
          <w:rFonts w:ascii="Arial Narrow" w:hAnsi="Arial Narrow" w:cs="Times New Roman"/>
          <w:lang w:eastAsia="de-DE"/>
        </w:rPr>
        <w:t xml:space="preserve">Spôsob určenia maximálnej ceny, </w:t>
      </w:r>
      <w:r w:rsidRPr="00AF3241">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AF3241">
        <w:rPr>
          <w:rFonts w:ascii="Arial Narrow" w:hAnsi="Arial Narrow" w:cs="Times New Roman"/>
        </w:rPr>
        <w:t>podmienky fakturácie</w:t>
      </w:r>
      <w:r w:rsidR="00A21F40" w:rsidRPr="00AF3241">
        <w:rPr>
          <w:rFonts w:ascii="Arial Narrow" w:hAnsi="Arial Narrow" w:cs="Times New Roman"/>
        </w:rPr>
        <w:t>,</w:t>
      </w:r>
      <w:r w:rsidRPr="00AF3241">
        <w:rPr>
          <w:rFonts w:ascii="Arial Narrow" w:hAnsi="Arial Narrow" w:cs="Times New Roman"/>
        </w:rPr>
        <w:t xml:space="preserve"> </w:t>
      </w:r>
      <w:r w:rsidR="00A21F40" w:rsidRPr="00AF3241">
        <w:rPr>
          <w:rFonts w:ascii="Arial Narrow" w:hAnsi="Arial Narrow" w:cs="Times New Roman"/>
        </w:rPr>
        <w:t>Ď</w:t>
      </w:r>
      <w:r w:rsidRPr="00AF3241">
        <w:rPr>
          <w:rFonts w:ascii="Arial Narrow" w:hAnsi="Arial Narrow" w:cs="Times New Roman"/>
        </w:rPr>
        <w:t>alšie podmienky poskytovania Zmluvného plnenia</w:t>
      </w:r>
      <w:r w:rsidRPr="00AF3241">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296488F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dňa </w:t>
      </w:r>
      <w:r w:rsidR="00B35E30" w:rsidRPr="003E3DEF">
        <w:rPr>
          <w:rFonts w:ascii="Arial Narrow" w:hAnsi="Arial Narrow" w:cs="Times New Roman"/>
        </w:rPr>
        <w:t>01.01.202</w:t>
      </w:r>
      <w:r w:rsidR="0009510B" w:rsidRPr="003E3DEF">
        <w:rPr>
          <w:rFonts w:ascii="Arial Narrow" w:hAnsi="Arial Narrow" w:cs="Times New Roman"/>
        </w:rPr>
        <w:t>5</w:t>
      </w:r>
      <w:r w:rsidR="00B35E30" w:rsidRPr="00AF3241">
        <w:rPr>
          <w:rFonts w:ascii="Arial Narrow" w:hAnsi="Arial Narrow" w:cs="Times New Roman"/>
        </w:rPr>
        <w:t>, za predpokladu jej predchádzajúceho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4A4EA6F7"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Za Ministerstvo vnútra SR:</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00683B20" w:rsidRPr="00AF3241">
        <w:rPr>
          <w:rFonts w:ascii="Arial Narrow" w:eastAsia="Calibri" w:hAnsi="Arial Narrow" w:cs="Times New Roman"/>
        </w:rPr>
        <w:tab/>
      </w:r>
      <w:r w:rsidR="00683B20" w:rsidRPr="00AF3241">
        <w:rPr>
          <w:rFonts w:ascii="Arial Narrow" w:eastAsia="Calibri" w:hAnsi="Arial Narrow" w:cs="Times New Roman"/>
        </w:rPr>
        <w:tab/>
      </w:r>
      <w:r w:rsidR="00CB73DA">
        <w:rPr>
          <w:rFonts w:ascii="Arial Narrow" w:eastAsia="Calibri" w:hAnsi="Arial Narrow" w:cs="Times New Roman"/>
        </w:rPr>
        <w:tab/>
      </w:r>
      <w:r w:rsidRPr="00AF3241">
        <w:rPr>
          <w:rFonts w:ascii="Arial Narrow" w:eastAsia="Calibri" w:hAnsi="Arial Narrow" w:cs="Times New Roman"/>
        </w:rPr>
        <w:t xml:space="preserve">Za </w:t>
      </w:r>
      <w:r w:rsidRPr="00AF3241">
        <w:rPr>
          <w:rFonts w:ascii="Arial Narrow" w:eastAsia="Arial Unicode MS" w:hAnsi="Arial Narrow" w:cs="Times New Roman"/>
          <w:highlight w:val="yellow"/>
        </w:rPr>
        <w:t>[ • ]</w:t>
      </w:r>
    </w:p>
    <w:p w14:paraId="0B9FACCF" w14:textId="77777777" w:rsidR="00876C61" w:rsidRPr="00AF3241" w:rsidRDefault="00876C61" w:rsidP="00570382">
      <w:pPr>
        <w:spacing w:after="0" w:line="240" w:lineRule="auto"/>
        <w:rPr>
          <w:rFonts w:ascii="Arial Narrow" w:hAnsi="Arial Narrow" w:cs="Times New Roman"/>
        </w:rPr>
      </w:pPr>
    </w:p>
    <w:p w14:paraId="07B526D1" w14:textId="77777777" w:rsidR="00876C61" w:rsidRPr="00AF3241" w:rsidRDefault="00876C61" w:rsidP="00570382">
      <w:pPr>
        <w:spacing w:after="0" w:line="240" w:lineRule="auto"/>
        <w:rPr>
          <w:rFonts w:ascii="Arial Narrow" w:hAnsi="Arial Narrow" w:cs="Times New Roman"/>
        </w:rPr>
      </w:pPr>
    </w:p>
    <w:p w14:paraId="4B9EDA72" w14:textId="77777777" w:rsidR="00876C61" w:rsidRPr="00AF3241" w:rsidRDefault="00876C61" w:rsidP="00570382">
      <w:pPr>
        <w:spacing w:after="0" w:line="240" w:lineRule="auto"/>
        <w:rPr>
          <w:rFonts w:ascii="Arial Narrow" w:hAnsi="Arial Narrow" w:cs="Times New Roman"/>
        </w:rPr>
      </w:pPr>
    </w:p>
    <w:p w14:paraId="282F1BEF" w14:textId="77777777" w:rsidR="00876C61" w:rsidRPr="00AF3241" w:rsidRDefault="00876C61" w:rsidP="00570382">
      <w:pPr>
        <w:spacing w:after="0" w:line="240" w:lineRule="auto"/>
        <w:rPr>
          <w:rFonts w:ascii="Arial Narrow" w:hAnsi="Arial Narrow" w:cs="Times New Roman"/>
        </w:rPr>
      </w:pPr>
      <w:r w:rsidRPr="00AF3241">
        <w:rPr>
          <w:rFonts w:ascii="Arial Narrow" w:hAnsi="Arial Narrow" w:cs="Times New Roman"/>
        </w:rPr>
        <w:t>____________________________________</w:t>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t>_________________________________</w:t>
      </w:r>
    </w:p>
    <w:p w14:paraId="324F7578" w14:textId="52C51758" w:rsidR="00876C61" w:rsidRPr="00AF3241" w:rsidRDefault="00876C61" w:rsidP="00570382">
      <w:pPr>
        <w:spacing w:after="0" w:line="240" w:lineRule="auto"/>
        <w:rPr>
          <w:rFonts w:ascii="Arial Narrow" w:hAnsi="Arial Narrow" w:cs="Times New Roman"/>
        </w:rPr>
      </w:pPr>
      <w:r w:rsidRPr="00AF3241">
        <w:rPr>
          <w:rFonts w:ascii="Arial Narrow" w:eastAsia="Arial Unicode MS" w:hAnsi="Arial Narrow" w:cs="Times New Roman"/>
          <w:highlight w:val="yellow"/>
        </w:rPr>
        <w:t>[ • ]</w:t>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eastAsia="Arial Unicode MS" w:hAnsi="Arial Narrow" w:cs="Times New Roman"/>
          <w:highlight w:val="yellow"/>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AF3241">
        <w:rPr>
          <w:rFonts w:ascii="Arial Narrow" w:eastAsia="Arial Unicode MS" w:hAnsi="Arial Narrow" w:cs="Times New Roman"/>
          <w:highlight w:val="yellow"/>
        </w:rPr>
        <w:t>[ •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Arial Unicode MS" w:hAnsi="Arial Narrow" w:cs="Times New Roman"/>
          <w:highlight w:val="yellow"/>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6F33E090" w14:textId="77777777" w:rsidR="00876C61" w:rsidRPr="00AF3241" w:rsidRDefault="00876C61" w:rsidP="00570382">
      <w:pPr>
        <w:spacing w:after="0" w:line="240" w:lineRule="auto"/>
        <w:rPr>
          <w:rFonts w:ascii="Arial Narrow" w:eastAsia="Calibri" w:hAnsi="Arial Narrow" w:cs="Times New Roman"/>
        </w:rPr>
      </w:pPr>
    </w:p>
    <w:p w14:paraId="31C1C3DD" w14:textId="77777777" w:rsidR="00876C61" w:rsidRPr="00AF3241" w:rsidRDefault="00876C61" w:rsidP="00570382">
      <w:pPr>
        <w:spacing w:after="0" w:line="240" w:lineRule="auto"/>
        <w:rPr>
          <w:rFonts w:ascii="Arial Narrow" w:hAnsi="Arial Narrow" w:cs="Times New Roman"/>
        </w:rPr>
      </w:pPr>
    </w:p>
    <w:p w14:paraId="3F53A867" w14:textId="10E78CD4" w:rsidR="006420D6" w:rsidRDefault="006420D6" w:rsidP="00570382">
      <w:pPr>
        <w:spacing w:after="0" w:line="240" w:lineRule="auto"/>
        <w:rPr>
          <w:rFonts w:ascii="Arial Narrow" w:hAnsi="Arial Narrow" w:cs="Times New Roman"/>
        </w:rPr>
      </w:pPr>
    </w:p>
    <w:p w14:paraId="1E1268B9" w14:textId="43485487" w:rsidR="0009510B" w:rsidRDefault="0009510B" w:rsidP="00570382">
      <w:pPr>
        <w:spacing w:after="0" w:line="240" w:lineRule="auto"/>
        <w:rPr>
          <w:rFonts w:ascii="Arial Narrow" w:hAnsi="Arial Narrow" w:cs="Times New Roman"/>
        </w:rPr>
      </w:pPr>
    </w:p>
    <w:p w14:paraId="48DF9848" w14:textId="44E1E8CF" w:rsidR="0009510B" w:rsidRDefault="0009510B" w:rsidP="00570382">
      <w:pPr>
        <w:spacing w:after="0" w:line="240" w:lineRule="auto"/>
        <w:rPr>
          <w:rFonts w:ascii="Arial Narrow" w:hAnsi="Arial Narrow" w:cs="Times New Roman"/>
        </w:rPr>
      </w:pPr>
    </w:p>
    <w:p w14:paraId="29AD2132" w14:textId="71DF4664" w:rsidR="0009510B" w:rsidRDefault="0009510B" w:rsidP="00570382">
      <w:pPr>
        <w:spacing w:after="0" w:line="240" w:lineRule="auto"/>
        <w:rPr>
          <w:rFonts w:ascii="Arial Narrow" w:hAnsi="Arial Narrow" w:cs="Times New Roman"/>
        </w:rPr>
      </w:pPr>
    </w:p>
    <w:p w14:paraId="1D9C5242" w14:textId="110C5F0F" w:rsidR="0009510B" w:rsidRDefault="0009510B" w:rsidP="00570382">
      <w:pPr>
        <w:spacing w:after="0" w:line="240" w:lineRule="auto"/>
        <w:rPr>
          <w:rFonts w:ascii="Arial Narrow" w:hAnsi="Arial Narrow" w:cs="Times New Roman"/>
        </w:rPr>
      </w:pPr>
    </w:p>
    <w:p w14:paraId="22A774F4" w14:textId="0D3E7874" w:rsidR="0009510B" w:rsidRDefault="0009510B" w:rsidP="00570382">
      <w:pPr>
        <w:spacing w:after="0" w:line="240" w:lineRule="auto"/>
        <w:rPr>
          <w:rFonts w:ascii="Arial Narrow" w:hAnsi="Arial Narrow" w:cs="Times New Roman"/>
        </w:rPr>
      </w:pPr>
    </w:p>
    <w:p w14:paraId="309FBC61" w14:textId="7B0A9E97" w:rsidR="0009510B" w:rsidRDefault="0009510B" w:rsidP="00570382">
      <w:pPr>
        <w:spacing w:after="0" w:line="240" w:lineRule="auto"/>
        <w:rPr>
          <w:rFonts w:ascii="Arial Narrow" w:hAnsi="Arial Narrow" w:cs="Times New Roman"/>
        </w:rPr>
      </w:pPr>
    </w:p>
    <w:p w14:paraId="61730063" w14:textId="13E2C7C9" w:rsidR="0009510B" w:rsidRDefault="0009510B" w:rsidP="00570382">
      <w:pPr>
        <w:spacing w:after="0" w:line="240" w:lineRule="auto"/>
        <w:rPr>
          <w:rFonts w:ascii="Arial Narrow" w:hAnsi="Arial Narrow" w:cs="Times New Roman"/>
        </w:rPr>
      </w:pPr>
    </w:p>
    <w:p w14:paraId="7E171A1F" w14:textId="575208A1" w:rsidR="0009510B" w:rsidRDefault="0009510B" w:rsidP="00570382">
      <w:pPr>
        <w:spacing w:after="0" w:line="240" w:lineRule="auto"/>
        <w:rPr>
          <w:rFonts w:ascii="Arial Narrow" w:hAnsi="Arial Narrow" w:cs="Times New Roman"/>
        </w:rPr>
      </w:pPr>
    </w:p>
    <w:p w14:paraId="0121DB97" w14:textId="0AF1CDD5" w:rsidR="0009510B" w:rsidRDefault="0009510B" w:rsidP="00570382">
      <w:pPr>
        <w:spacing w:after="0" w:line="240" w:lineRule="auto"/>
        <w:rPr>
          <w:rFonts w:ascii="Arial Narrow" w:hAnsi="Arial Narrow" w:cs="Times New Roman"/>
        </w:rPr>
      </w:pPr>
    </w:p>
    <w:p w14:paraId="79720AAA" w14:textId="2710207F" w:rsidR="0009510B" w:rsidRDefault="0009510B" w:rsidP="00570382">
      <w:pPr>
        <w:spacing w:after="0" w:line="240" w:lineRule="auto"/>
        <w:rPr>
          <w:rFonts w:ascii="Arial Narrow" w:hAnsi="Arial Narrow" w:cs="Times New Roman"/>
        </w:rPr>
      </w:pPr>
    </w:p>
    <w:p w14:paraId="30BB6641" w14:textId="204E9558" w:rsidR="0009510B" w:rsidRDefault="0009510B" w:rsidP="00570382">
      <w:pPr>
        <w:spacing w:after="0" w:line="240" w:lineRule="auto"/>
        <w:rPr>
          <w:rFonts w:ascii="Arial Narrow" w:hAnsi="Arial Narrow" w:cs="Times New Roman"/>
        </w:rPr>
      </w:pPr>
    </w:p>
    <w:p w14:paraId="01C4209F" w14:textId="5C242A75" w:rsidR="0009510B" w:rsidRDefault="0009510B" w:rsidP="00570382">
      <w:pPr>
        <w:spacing w:after="0" w:line="240" w:lineRule="auto"/>
        <w:rPr>
          <w:rFonts w:ascii="Arial Narrow" w:hAnsi="Arial Narrow" w:cs="Times New Roman"/>
        </w:rPr>
      </w:pPr>
    </w:p>
    <w:p w14:paraId="727DBB45" w14:textId="5C864512" w:rsidR="0009510B" w:rsidRDefault="0009510B" w:rsidP="00570382">
      <w:pPr>
        <w:spacing w:after="0" w:line="240" w:lineRule="auto"/>
        <w:rPr>
          <w:rFonts w:ascii="Arial Narrow" w:hAnsi="Arial Narrow" w:cs="Times New Roman"/>
        </w:rPr>
      </w:pPr>
    </w:p>
    <w:p w14:paraId="261498E2" w14:textId="7F39EBAB" w:rsidR="0009510B" w:rsidRDefault="0009510B" w:rsidP="00570382">
      <w:pPr>
        <w:spacing w:after="0" w:line="240" w:lineRule="auto"/>
        <w:rPr>
          <w:rFonts w:ascii="Arial Narrow" w:hAnsi="Arial Narrow" w:cs="Times New Roman"/>
        </w:rPr>
      </w:pPr>
    </w:p>
    <w:p w14:paraId="6C12E998" w14:textId="2C984A68" w:rsidR="0009510B" w:rsidRDefault="0009510B" w:rsidP="00570382">
      <w:pPr>
        <w:spacing w:after="0" w:line="240" w:lineRule="auto"/>
        <w:rPr>
          <w:rFonts w:ascii="Arial Narrow" w:hAnsi="Arial Narrow" w:cs="Times New Roman"/>
        </w:rPr>
      </w:pPr>
    </w:p>
    <w:p w14:paraId="696B37B1" w14:textId="51447F2E" w:rsidR="0009510B" w:rsidRDefault="0009510B" w:rsidP="00570382">
      <w:pPr>
        <w:spacing w:after="0" w:line="240" w:lineRule="auto"/>
        <w:rPr>
          <w:rFonts w:ascii="Arial Narrow" w:hAnsi="Arial Narrow" w:cs="Times New Roman"/>
        </w:rPr>
      </w:pPr>
    </w:p>
    <w:p w14:paraId="4BCFE78B" w14:textId="01F2A58D" w:rsidR="0009510B" w:rsidRDefault="0009510B" w:rsidP="00570382">
      <w:pPr>
        <w:spacing w:after="0" w:line="240" w:lineRule="auto"/>
        <w:rPr>
          <w:rFonts w:ascii="Arial Narrow" w:hAnsi="Arial Narrow" w:cs="Times New Roman"/>
        </w:rPr>
      </w:pPr>
    </w:p>
    <w:p w14:paraId="54C5D4D5" w14:textId="4482DB94" w:rsidR="0009510B" w:rsidRDefault="0009510B" w:rsidP="00570382">
      <w:pPr>
        <w:spacing w:after="0" w:line="240" w:lineRule="auto"/>
        <w:rPr>
          <w:rFonts w:ascii="Arial Narrow" w:hAnsi="Arial Narrow" w:cs="Times New Roman"/>
        </w:rPr>
      </w:pPr>
    </w:p>
    <w:p w14:paraId="6B2E9255" w14:textId="74B0B159" w:rsidR="0009510B" w:rsidRDefault="0009510B" w:rsidP="00570382">
      <w:pPr>
        <w:spacing w:after="0" w:line="240" w:lineRule="auto"/>
        <w:rPr>
          <w:rFonts w:ascii="Arial Narrow" w:hAnsi="Arial Narrow" w:cs="Times New Roman"/>
        </w:rPr>
      </w:pPr>
    </w:p>
    <w:p w14:paraId="3990A7E2" w14:textId="7D854903" w:rsidR="0009510B" w:rsidRDefault="0009510B" w:rsidP="00570382">
      <w:pPr>
        <w:spacing w:after="0" w:line="240" w:lineRule="auto"/>
        <w:rPr>
          <w:rFonts w:ascii="Arial Narrow" w:hAnsi="Arial Narrow" w:cs="Times New Roman"/>
        </w:rPr>
      </w:pPr>
    </w:p>
    <w:p w14:paraId="7D4EF5F7" w14:textId="593F0AED" w:rsidR="0009510B" w:rsidRDefault="0009510B" w:rsidP="00570382">
      <w:pPr>
        <w:spacing w:after="0" w:line="240" w:lineRule="auto"/>
        <w:rPr>
          <w:rFonts w:ascii="Arial Narrow" w:hAnsi="Arial Narrow" w:cs="Times New Roman"/>
        </w:rPr>
      </w:pPr>
    </w:p>
    <w:p w14:paraId="62930C39" w14:textId="3E48D6A6" w:rsidR="0009510B" w:rsidRDefault="0009510B" w:rsidP="00570382">
      <w:pPr>
        <w:spacing w:after="0" w:line="240" w:lineRule="auto"/>
        <w:rPr>
          <w:rFonts w:ascii="Arial Narrow" w:hAnsi="Arial Narrow" w:cs="Times New Roman"/>
        </w:rPr>
      </w:pPr>
    </w:p>
    <w:p w14:paraId="0B5F8662" w14:textId="6AB31C8A" w:rsidR="0009510B" w:rsidRDefault="0009510B" w:rsidP="00570382">
      <w:pPr>
        <w:spacing w:after="0" w:line="240" w:lineRule="auto"/>
        <w:rPr>
          <w:rFonts w:ascii="Arial Narrow" w:hAnsi="Arial Narrow" w:cs="Times New Roman"/>
        </w:rPr>
      </w:pPr>
    </w:p>
    <w:p w14:paraId="745ACA26" w14:textId="5A0A02D9" w:rsidR="0009510B" w:rsidRDefault="0009510B" w:rsidP="00570382">
      <w:pPr>
        <w:spacing w:after="0" w:line="240" w:lineRule="auto"/>
        <w:rPr>
          <w:rFonts w:ascii="Arial Narrow" w:hAnsi="Arial Narrow" w:cs="Times New Roman"/>
        </w:rPr>
      </w:pPr>
    </w:p>
    <w:p w14:paraId="4D1C202A" w14:textId="4B0AC339" w:rsidR="0009510B" w:rsidRDefault="0009510B" w:rsidP="00570382">
      <w:pPr>
        <w:spacing w:after="0" w:line="240" w:lineRule="auto"/>
        <w:rPr>
          <w:rFonts w:ascii="Arial Narrow" w:hAnsi="Arial Narrow" w:cs="Times New Roman"/>
        </w:rPr>
      </w:pPr>
    </w:p>
    <w:p w14:paraId="76F044FC" w14:textId="7A936B3C" w:rsidR="0009510B" w:rsidRDefault="0009510B" w:rsidP="00570382">
      <w:pPr>
        <w:spacing w:after="0" w:line="240" w:lineRule="auto"/>
        <w:rPr>
          <w:rFonts w:ascii="Arial Narrow" w:hAnsi="Arial Narrow" w:cs="Times New Roman"/>
        </w:rPr>
      </w:pPr>
    </w:p>
    <w:p w14:paraId="0485C806" w14:textId="1B573EF6" w:rsidR="0009510B" w:rsidRDefault="0009510B" w:rsidP="00570382">
      <w:pPr>
        <w:spacing w:after="0" w:line="240" w:lineRule="auto"/>
        <w:rPr>
          <w:rFonts w:ascii="Arial Narrow" w:hAnsi="Arial Narrow" w:cs="Times New Roman"/>
        </w:rPr>
      </w:pPr>
    </w:p>
    <w:p w14:paraId="7D17205B" w14:textId="7B413DB7" w:rsidR="0009510B" w:rsidRDefault="0009510B" w:rsidP="00570382">
      <w:pPr>
        <w:spacing w:after="0" w:line="240" w:lineRule="auto"/>
        <w:rPr>
          <w:rFonts w:ascii="Arial Narrow" w:hAnsi="Arial Narrow" w:cs="Times New Roman"/>
        </w:rPr>
      </w:pPr>
    </w:p>
    <w:p w14:paraId="10E97CA9" w14:textId="68601784" w:rsidR="0009510B" w:rsidRDefault="0009510B" w:rsidP="00570382">
      <w:pPr>
        <w:spacing w:after="0" w:line="240" w:lineRule="auto"/>
        <w:rPr>
          <w:rFonts w:ascii="Arial Narrow" w:hAnsi="Arial Narrow" w:cs="Times New Roman"/>
        </w:rPr>
      </w:pPr>
    </w:p>
    <w:p w14:paraId="4972FEAA" w14:textId="5BA0A62F" w:rsidR="0009510B" w:rsidRDefault="0009510B" w:rsidP="00570382">
      <w:pPr>
        <w:spacing w:after="0" w:line="240" w:lineRule="auto"/>
        <w:rPr>
          <w:rFonts w:ascii="Arial Narrow" w:hAnsi="Arial Narrow" w:cs="Times New Roman"/>
        </w:rPr>
      </w:pPr>
    </w:p>
    <w:p w14:paraId="3D143E87" w14:textId="4CAF98A2" w:rsidR="0009510B" w:rsidRDefault="0009510B" w:rsidP="00570382">
      <w:pPr>
        <w:spacing w:after="0" w:line="240" w:lineRule="auto"/>
        <w:rPr>
          <w:rFonts w:ascii="Arial Narrow" w:hAnsi="Arial Narrow" w:cs="Times New Roman"/>
        </w:rPr>
      </w:pPr>
    </w:p>
    <w:p w14:paraId="077F65A8" w14:textId="3D6B999A" w:rsidR="0009510B" w:rsidRDefault="0009510B" w:rsidP="00570382">
      <w:pPr>
        <w:spacing w:after="0" w:line="240" w:lineRule="auto"/>
        <w:rPr>
          <w:rFonts w:ascii="Arial Narrow" w:hAnsi="Arial Narrow" w:cs="Times New Roman"/>
        </w:rPr>
      </w:pPr>
    </w:p>
    <w:p w14:paraId="63F06BEE" w14:textId="19697223" w:rsidR="0009510B" w:rsidRDefault="0009510B" w:rsidP="00570382">
      <w:pPr>
        <w:spacing w:after="0" w:line="240" w:lineRule="auto"/>
        <w:rPr>
          <w:rFonts w:ascii="Arial Narrow" w:hAnsi="Arial Narrow" w:cs="Times New Roman"/>
        </w:rPr>
      </w:pPr>
    </w:p>
    <w:p w14:paraId="7D4C7909" w14:textId="79CC43AE" w:rsidR="0009510B" w:rsidRDefault="0009510B" w:rsidP="00570382">
      <w:pPr>
        <w:spacing w:after="0" w:line="240" w:lineRule="auto"/>
        <w:rPr>
          <w:rFonts w:ascii="Arial Narrow" w:hAnsi="Arial Narrow" w:cs="Times New Roman"/>
        </w:rPr>
      </w:pPr>
    </w:p>
    <w:p w14:paraId="2C4D5C54" w14:textId="2EDBCE92" w:rsidR="0009510B" w:rsidRDefault="0009510B" w:rsidP="00570382">
      <w:pPr>
        <w:spacing w:after="0" w:line="240" w:lineRule="auto"/>
        <w:rPr>
          <w:rFonts w:ascii="Arial Narrow" w:hAnsi="Arial Narrow" w:cs="Times New Roman"/>
        </w:rPr>
      </w:pPr>
    </w:p>
    <w:p w14:paraId="4583F4FA" w14:textId="77777777" w:rsidR="00FF3059" w:rsidRDefault="00FF3059"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4BBC4EA8" w:rsidR="006420D6" w:rsidRDefault="006420D6" w:rsidP="00570382">
      <w:pPr>
        <w:spacing w:after="0" w:line="240" w:lineRule="auto"/>
        <w:rPr>
          <w:rFonts w:ascii="Arial Narrow" w:hAnsi="Arial Narrow" w:cs="Times New Roman"/>
          <w:b/>
          <w:bCs/>
        </w:rPr>
      </w:pPr>
    </w:p>
    <w:p w14:paraId="12226E1B" w14:textId="4DE6CAF0" w:rsidR="006F7DE7" w:rsidRDefault="006F7DE7" w:rsidP="00570382">
      <w:pPr>
        <w:spacing w:after="0" w:line="240" w:lineRule="auto"/>
        <w:rPr>
          <w:rFonts w:ascii="Arial Narrow" w:hAnsi="Arial Narrow" w:cs="Times New Roman"/>
          <w:b/>
          <w:bCs/>
        </w:rPr>
      </w:pPr>
    </w:p>
    <w:p w14:paraId="2A043DD1" w14:textId="7FC45297" w:rsidR="006F7DE7" w:rsidRDefault="006F7DE7" w:rsidP="00570382">
      <w:pPr>
        <w:spacing w:after="0" w:line="240" w:lineRule="auto"/>
        <w:rPr>
          <w:rFonts w:ascii="Arial Narrow" w:hAnsi="Arial Narrow" w:cs="Times New Roman"/>
          <w:b/>
          <w:bCs/>
        </w:rPr>
      </w:pPr>
    </w:p>
    <w:p w14:paraId="29A158A1" w14:textId="2DD1D003" w:rsidR="006F7DE7" w:rsidRDefault="006F7DE7" w:rsidP="00570382">
      <w:pPr>
        <w:spacing w:after="0" w:line="240" w:lineRule="auto"/>
        <w:rPr>
          <w:rFonts w:ascii="Arial Narrow" w:hAnsi="Arial Narrow" w:cs="Times New Roman"/>
          <w:b/>
          <w:bCs/>
        </w:rPr>
      </w:pPr>
    </w:p>
    <w:p w14:paraId="6525CD6B" w14:textId="764662E6" w:rsidR="006F7DE7" w:rsidRDefault="006F7DE7" w:rsidP="00570382">
      <w:pPr>
        <w:spacing w:after="0" w:line="240" w:lineRule="auto"/>
        <w:rPr>
          <w:rFonts w:ascii="Arial Narrow" w:hAnsi="Arial Narrow" w:cs="Times New Roman"/>
          <w:b/>
          <w:bCs/>
        </w:rPr>
      </w:pPr>
    </w:p>
    <w:p w14:paraId="054D1A61" w14:textId="77777777" w:rsidR="006F7DE7" w:rsidRPr="00AF3241" w:rsidRDefault="006F7DE7" w:rsidP="00570382">
      <w:pPr>
        <w:spacing w:after="0" w:line="240" w:lineRule="auto"/>
        <w:rPr>
          <w:rFonts w:ascii="Arial Narrow" w:hAnsi="Arial Narrow" w:cs="Times New Roman"/>
          <w:b/>
          <w:bCs/>
        </w:rPr>
      </w:pPr>
    </w:p>
    <w:p w14:paraId="64A73387" w14:textId="7D70AB8A" w:rsidR="006420D6" w:rsidRPr="00AF3241" w:rsidRDefault="006420D6" w:rsidP="00570382">
      <w:pPr>
        <w:spacing w:after="0" w:line="240" w:lineRule="auto"/>
        <w:rPr>
          <w:rFonts w:ascii="Arial Narrow" w:hAnsi="Arial Narrow" w:cs="Times New Roman"/>
          <w:b/>
          <w:bCs/>
        </w:rPr>
      </w:pPr>
    </w:p>
    <w:p w14:paraId="6671C3BE" w14:textId="356F3E8B"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F97F8F6" w14:textId="774CF009" w:rsidR="00757A8D" w:rsidRDefault="00757A8D" w:rsidP="00757A8D">
      <w:pPr>
        <w:pStyle w:val="Odsekzoznamu"/>
        <w:spacing w:after="0" w:line="240" w:lineRule="auto"/>
        <w:ind w:left="0"/>
        <w:jc w:val="both"/>
        <w:rPr>
          <w:rFonts w:ascii="Arial Narrow" w:hAnsi="Arial Narrow" w:cs="Times New Roman"/>
        </w:rPr>
      </w:pPr>
      <w:r w:rsidRPr="00757A8D">
        <w:rPr>
          <w:rFonts w:ascii="Arial Narrow" w:hAnsi="Arial Narrow" w:cs="Times New Roman"/>
        </w:rPr>
        <w:t xml:space="preserve">Obdobie poskytovania služieb: od </w:t>
      </w:r>
      <w:r w:rsidRPr="0009510B">
        <w:rPr>
          <w:rFonts w:ascii="Arial Narrow" w:hAnsi="Arial Narrow" w:cs="Times New Roman"/>
        </w:rPr>
        <w:t>01.01.202</w:t>
      </w:r>
      <w:r w:rsidR="0009510B" w:rsidRPr="0009510B">
        <w:rPr>
          <w:rFonts w:ascii="Arial Narrow" w:hAnsi="Arial Narrow" w:cs="Times New Roman"/>
        </w:rPr>
        <w:t>5</w:t>
      </w:r>
      <w:r w:rsidRPr="0009510B">
        <w:rPr>
          <w:rFonts w:ascii="Arial Narrow" w:hAnsi="Arial Narrow" w:cs="Times New Roman"/>
        </w:rPr>
        <w:t xml:space="preserve"> od 00:00 hod.</w:t>
      </w:r>
      <w:r w:rsidRPr="00757A8D">
        <w:rPr>
          <w:rFonts w:ascii="Arial Narrow" w:hAnsi="Arial Narrow" w:cs="Times New Roman"/>
        </w:rPr>
        <w:t xml:space="preserve"> </w:t>
      </w:r>
      <w:r w:rsidRPr="0009510B">
        <w:rPr>
          <w:rFonts w:ascii="Arial Narrow" w:hAnsi="Arial Narrow" w:cs="Times New Roman"/>
        </w:rPr>
        <w:t>do 31.12.202</w:t>
      </w:r>
      <w:r w:rsidR="0009510B" w:rsidRPr="0009510B">
        <w:rPr>
          <w:rFonts w:ascii="Arial Narrow" w:hAnsi="Arial Narrow" w:cs="Times New Roman"/>
        </w:rPr>
        <w:t>5</w:t>
      </w:r>
      <w:r w:rsidRPr="0009510B">
        <w:rPr>
          <w:rFonts w:ascii="Arial Narrow" w:hAnsi="Arial Narrow" w:cs="Times New Roman"/>
        </w:rPr>
        <w:t xml:space="preserve"> do 24:00 hod.</w:t>
      </w:r>
    </w:p>
    <w:p w14:paraId="4AA1701E" w14:textId="77777777" w:rsidR="00757A8D" w:rsidRPr="00757A8D" w:rsidRDefault="00757A8D" w:rsidP="00757A8D">
      <w:pPr>
        <w:pStyle w:val="Odsekzoznamu"/>
        <w:spacing w:after="0" w:line="240" w:lineRule="auto"/>
        <w:ind w:left="0"/>
        <w:jc w:val="both"/>
        <w:rPr>
          <w:rFonts w:ascii="Arial Narrow" w:hAnsi="Arial Narrow" w:cs="Times New Roman"/>
        </w:rPr>
      </w:pPr>
    </w:p>
    <w:p w14:paraId="02599CBA" w14:textId="2E570A50" w:rsidR="00757A8D" w:rsidRPr="00757A8D" w:rsidRDefault="00757A8D" w:rsidP="00757A8D">
      <w:pPr>
        <w:pStyle w:val="Odsekzoznamu"/>
        <w:spacing w:after="0" w:line="240" w:lineRule="auto"/>
        <w:ind w:left="0"/>
        <w:jc w:val="both"/>
        <w:rPr>
          <w:rFonts w:ascii="Arial Narrow" w:hAnsi="Arial Narrow" w:cs="Times New Roman"/>
        </w:rPr>
      </w:pPr>
      <w:r w:rsidRPr="00757A8D">
        <w:rPr>
          <w:rFonts w:ascii="Arial Narrow" w:hAnsi="Arial Narrow" w:cs="Times New Roman"/>
        </w:rPr>
        <w:t>Elektrina:</w:t>
      </w:r>
    </w:p>
    <w:p w14:paraId="42DE474A" w14:textId="75AD7ED9" w:rsidR="00757A8D" w:rsidRPr="00757A8D" w:rsidRDefault="00757A8D" w:rsidP="00757A8D">
      <w:pPr>
        <w:pStyle w:val="Odsekzoznamu"/>
        <w:spacing w:after="0" w:line="240" w:lineRule="auto"/>
        <w:ind w:left="0"/>
        <w:jc w:val="both"/>
        <w:rPr>
          <w:rFonts w:ascii="Arial Narrow" w:hAnsi="Arial Narrow" w:cs="Times New Roman"/>
        </w:rPr>
      </w:pPr>
      <w:r w:rsidRPr="00757A8D">
        <w:rPr>
          <w:rFonts w:ascii="Arial Narrow" w:hAnsi="Arial Narrow" w:cs="Times New Roman"/>
        </w:rPr>
        <w:t>Predpokladaný počet a charakteristika odberných miest: uvedený v</w:t>
      </w:r>
      <w:r>
        <w:rPr>
          <w:rFonts w:ascii="Arial Narrow" w:hAnsi="Arial Narrow" w:cs="Times New Roman"/>
        </w:rPr>
        <w:t> </w:t>
      </w:r>
      <w:r w:rsidRPr="00757A8D">
        <w:rPr>
          <w:rFonts w:ascii="Arial Narrow" w:hAnsi="Arial Narrow" w:cs="Times New Roman"/>
        </w:rPr>
        <w:t>Tab</w:t>
      </w:r>
      <w:r>
        <w:rPr>
          <w:rFonts w:ascii="Arial Narrow" w:hAnsi="Arial Narrow" w:cs="Times New Roman"/>
        </w:rPr>
        <w:t>uľke</w:t>
      </w:r>
      <w:r w:rsidRPr="00757A8D">
        <w:rPr>
          <w:rFonts w:ascii="Arial Narrow" w:hAnsi="Arial Narrow" w:cs="Times New Roman"/>
        </w:rPr>
        <w:t xml:space="preserve"> č. 1</w:t>
      </w:r>
    </w:p>
    <w:p w14:paraId="45FFEF1C" w14:textId="5DA1881F" w:rsidR="00757A8D" w:rsidRDefault="00757A8D" w:rsidP="00757A8D">
      <w:pPr>
        <w:pStyle w:val="Odsekzoznamu"/>
        <w:spacing w:after="0" w:line="240" w:lineRule="auto"/>
        <w:ind w:left="0"/>
        <w:jc w:val="both"/>
        <w:rPr>
          <w:rFonts w:ascii="Arial Narrow" w:hAnsi="Arial Narrow" w:cs="Times New Roman"/>
        </w:rPr>
      </w:pPr>
    </w:p>
    <w:p w14:paraId="18EFFB09" w14:textId="77777777" w:rsidR="0009510B" w:rsidRDefault="0009510B" w:rsidP="00757A8D">
      <w:pPr>
        <w:pStyle w:val="Odsekzoznamu"/>
        <w:spacing w:after="0" w:line="240" w:lineRule="auto"/>
        <w:ind w:left="0"/>
        <w:jc w:val="both"/>
        <w:rPr>
          <w:rFonts w:ascii="Arial Narrow" w:hAnsi="Arial Narrow" w:cs="Times New Roman"/>
        </w:rPr>
      </w:pPr>
    </w:p>
    <w:p w14:paraId="3AE6C570" w14:textId="41083C68" w:rsidR="00757A8D" w:rsidRDefault="00757A8D" w:rsidP="00757A8D">
      <w:pPr>
        <w:pStyle w:val="Odsekzoznamu"/>
        <w:spacing w:after="0" w:line="240" w:lineRule="auto"/>
        <w:ind w:left="0"/>
        <w:jc w:val="both"/>
        <w:rPr>
          <w:rFonts w:ascii="Arial Narrow" w:hAnsi="Arial Narrow" w:cs="Times New Roman"/>
        </w:rPr>
      </w:pPr>
      <w:r w:rsidRPr="00757A8D">
        <w:rPr>
          <w:rFonts w:ascii="Arial Narrow" w:hAnsi="Arial Narrow" w:cs="Times New Roman"/>
        </w:rPr>
        <w:t>Tabuľka č. 1</w:t>
      </w:r>
    </w:p>
    <w:p w14:paraId="74023121" w14:textId="77777777" w:rsidR="00757A8D" w:rsidRPr="00757A8D" w:rsidRDefault="00757A8D" w:rsidP="00757A8D">
      <w:pPr>
        <w:pStyle w:val="Odsekzoznamu"/>
        <w:spacing w:after="0" w:line="240" w:lineRule="auto"/>
        <w:jc w:val="both"/>
        <w:rPr>
          <w:rFonts w:ascii="Arial Narrow" w:hAnsi="Arial Narrow" w:cs="Times New Roman"/>
        </w:rPr>
      </w:pPr>
    </w:p>
    <w:p w14:paraId="3198CEC5" w14:textId="4E411C87" w:rsidR="006420D6" w:rsidRPr="00AF3241" w:rsidRDefault="006420D6"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7850ECA4" w:rsidR="006420D6" w:rsidRDefault="006420D6" w:rsidP="00570382">
      <w:pPr>
        <w:spacing w:after="0" w:line="240" w:lineRule="auto"/>
        <w:jc w:val="center"/>
        <w:rPr>
          <w:rFonts w:ascii="Arial Narrow" w:hAnsi="Arial Narrow" w:cs="Times New Roman"/>
          <w:b/>
          <w:bCs/>
        </w:rPr>
      </w:pPr>
    </w:p>
    <w:p w14:paraId="539348D0" w14:textId="545D2981" w:rsidR="0009510B" w:rsidRDefault="0009510B" w:rsidP="00570382">
      <w:pPr>
        <w:spacing w:after="0" w:line="240" w:lineRule="auto"/>
        <w:jc w:val="center"/>
        <w:rPr>
          <w:rFonts w:ascii="Arial Narrow" w:hAnsi="Arial Narrow" w:cs="Times New Roman"/>
          <w:b/>
          <w:bCs/>
        </w:rPr>
      </w:pPr>
    </w:p>
    <w:p w14:paraId="150E20D1" w14:textId="5A0DBB6E" w:rsidR="0009510B" w:rsidRDefault="0009510B" w:rsidP="00570382">
      <w:pPr>
        <w:spacing w:after="0" w:line="240" w:lineRule="auto"/>
        <w:jc w:val="center"/>
        <w:rPr>
          <w:rFonts w:ascii="Arial Narrow" w:hAnsi="Arial Narrow" w:cs="Times New Roman"/>
          <w:b/>
          <w:bCs/>
        </w:rPr>
      </w:pPr>
    </w:p>
    <w:p w14:paraId="5BDC4C11" w14:textId="2D5F119A" w:rsidR="0009510B" w:rsidRDefault="0009510B" w:rsidP="00570382">
      <w:pPr>
        <w:spacing w:after="0" w:line="240" w:lineRule="auto"/>
        <w:jc w:val="center"/>
        <w:rPr>
          <w:rFonts w:ascii="Arial Narrow" w:hAnsi="Arial Narrow" w:cs="Times New Roman"/>
          <w:b/>
          <w:bCs/>
        </w:rPr>
      </w:pPr>
    </w:p>
    <w:p w14:paraId="33330A3A" w14:textId="481C1F46" w:rsidR="0009510B" w:rsidRDefault="0009510B" w:rsidP="00570382">
      <w:pPr>
        <w:spacing w:after="0" w:line="240" w:lineRule="auto"/>
        <w:jc w:val="center"/>
        <w:rPr>
          <w:rFonts w:ascii="Arial Narrow" w:hAnsi="Arial Narrow" w:cs="Times New Roman"/>
          <w:b/>
          <w:bCs/>
        </w:rPr>
      </w:pPr>
    </w:p>
    <w:p w14:paraId="79E88FDA" w14:textId="69E38CB6" w:rsidR="0009510B" w:rsidRDefault="0009510B" w:rsidP="00570382">
      <w:pPr>
        <w:spacing w:after="0" w:line="240" w:lineRule="auto"/>
        <w:jc w:val="center"/>
        <w:rPr>
          <w:rFonts w:ascii="Arial Narrow" w:hAnsi="Arial Narrow" w:cs="Times New Roman"/>
          <w:b/>
          <w:bCs/>
        </w:rPr>
      </w:pPr>
    </w:p>
    <w:p w14:paraId="599A1F52" w14:textId="08B07AA3" w:rsidR="0009510B" w:rsidRDefault="0009510B" w:rsidP="00570382">
      <w:pPr>
        <w:spacing w:after="0" w:line="240" w:lineRule="auto"/>
        <w:jc w:val="center"/>
        <w:rPr>
          <w:rFonts w:ascii="Arial Narrow" w:hAnsi="Arial Narrow" w:cs="Times New Roman"/>
          <w:b/>
          <w:bCs/>
        </w:rPr>
      </w:pPr>
    </w:p>
    <w:p w14:paraId="755D7DA1" w14:textId="1EA96F18" w:rsidR="0009510B" w:rsidRDefault="0009510B" w:rsidP="00570382">
      <w:pPr>
        <w:spacing w:after="0" w:line="240" w:lineRule="auto"/>
        <w:jc w:val="center"/>
        <w:rPr>
          <w:rFonts w:ascii="Arial Narrow" w:hAnsi="Arial Narrow" w:cs="Times New Roman"/>
          <w:b/>
          <w:bCs/>
        </w:rPr>
      </w:pPr>
    </w:p>
    <w:p w14:paraId="6517AAE2" w14:textId="58037EA9" w:rsidR="0009510B" w:rsidRDefault="0009510B" w:rsidP="00570382">
      <w:pPr>
        <w:spacing w:after="0" w:line="240" w:lineRule="auto"/>
        <w:jc w:val="center"/>
        <w:rPr>
          <w:rFonts w:ascii="Arial Narrow" w:hAnsi="Arial Narrow" w:cs="Times New Roman"/>
          <w:b/>
          <w:bCs/>
        </w:rPr>
      </w:pPr>
    </w:p>
    <w:p w14:paraId="191EFC14" w14:textId="79F9A26C" w:rsidR="0009510B" w:rsidRDefault="0009510B" w:rsidP="00570382">
      <w:pPr>
        <w:spacing w:after="0" w:line="240" w:lineRule="auto"/>
        <w:jc w:val="center"/>
        <w:rPr>
          <w:rFonts w:ascii="Arial Narrow" w:hAnsi="Arial Narrow" w:cs="Times New Roman"/>
          <w:b/>
          <w:bCs/>
        </w:rPr>
      </w:pPr>
    </w:p>
    <w:p w14:paraId="78D9095C" w14:textId="3948FFA4" w:rsidR="006F7DE7" w:rsidRDefault="006F7DE7" w:rsidP="00570382">
      <w:pPr>
        <w:spacing w:after="0" w:line="240" w:lineRule="auto"/>
        <w:jc w:val="center"/>
        <w:rPr>
          <w:rFonts w:ascii="Arial Narrow" w:hAnsi="Arial Narrow" w:cs="Times New Roman"/>
          <w:b/>
          <w:bCs/>
        </w:rPr>
      </w:pPr>
    </w:p>
    <w:p w14:paraId="4083FBBD" w14:textId="225D4E3D" w:rsidR="006F7DE7" w:rsidRDefault="006F7DE7" w:rsidP="00570382">
      <w:pPr>
        <w:spacing w:after="0" w:line="240" w:lineRule="auto"/>
        <w:jc w:val="center"/>
        <w:rPr>
          <w:rFonts w:ascii="Arial Narrow" w:hAnsi="Arial Narrow" w:cs="Times New Roman"/>
          <w:b/>
          <w:bCs/>
        </w:rPr>
      </w:pPr>
    </w:p>
    <w:p w14:paraId="708F460F" w14:textId="437FADBA" w:rsidR="006F7DE7" w:rsidRDefault="006F7DE7" w:rsidP="00570382">
      <w:pPr>
        <w:spacing w:after="0" w:line="240" w:lineRule="auto"/>
        <w:jc w:val="center"/>
        <w:rPr>
          <w:rFonts w:ascii="Arial Narrow" w:hAnsi="Arial Narrow" w:cs="Times New Roman"/>
          <w:b/>
          <w:bCs/>
        </w:rPr>
      </w:pPr>
    </w:p>
    <w:p w14:paraId="14389137" w14:textId="592799E2" w:rsidR="006F7DE7" w:rsidRDefault="006F7DE7" w:rsidP="00570382">
      <w:pPr>
        <w:spacing w:after="0" w:line="240" w:lineRule="auto"/>
        <w:jc w:val="center"/>
        <w:rPr>
          <w:rFonts w:ascii="Arial Narrow" w:hAnsi="Arial Narrow" w:cs="Times New Roman"/>
          <w:b/>
          <w:bCs/>
        </w:rPr>
      </w:pPr>
    </w:p>
    <w:p w14:paraId="5F476810" w14:textId="51701C68" w:rsidR="006F7DE7" w:rsidRDefault="006F7DE7" w:rsidP="00570382">
      <w:pPr>
        <w:spacing w:after="0" w:line="240" w:lineRule="auto"/>
        <w:jc w:val="center"/>
        <w:rPr>
          <w:rFonts w:ascii="Arial Narrow" w:hAnsi="Arial Narrow" w:cs="Times New Roman"/>
          <w:b/>
          <w:bCs/>
        </w:rPr>
      </w:pPr>
    </w:p>
    <w:p w14:paraId="54FE9F84" w14:textId="77777777" w:rsidR="006F7DE7" w:rsidRDefault="006F7DE7" w:rsidP="00570382">
      <w:pPr>
        <w:spacing w:after="0" w:line="240" w:lineRule="auto"/>
        <w:jc w:val="center"/>
        <w:rPr>
          <w:rFonts w:ascii="Arial Narrow" w:hAnsi="Arial Narrow" w:cs="Times New Roman"/>
          <w:b/>
          <w:bCs/>
        </w:rPr>
      </w:pPr>
    </w:p>
    <w:p w14:paraId="62EDA214" w14:textId="516FD3B3" w:rsidR="0009510B" w:rsidRDefault="0009510B" w:rsidP="00570382">
      <w:pPr>
        <w:spacing w:after="0" w:line="240" w:lineRule="auto"/>
        <w:jc w:val="center"/>
        <w:rPr>
          <w:rFonts w:ascii="Arial Narrow" w:hAnsi="Arial Narrow" w:cs="Times New Roman"/>
          <w:b/>
          <w:bCs/>
        </w:rPr>
      </w:pPr>
    </w:p>
    <w:p w14:paraId="4A194C39" w14:textId="478E0A83" w:rsidR="0009510B" w:rsidRDefault="0009510B" w:rsidP="00570382">
      <w:pPr>
        <w:spacing w:after="0" w:line="240" w:lineRule="auto"/>
        <w:jc w:val="center"/>
        <w:rPr>
          <w:rFonts w:ascii="Arial Narrow" w:hAnsi="Arial Narrow" w:cs="Times New Roman"/>
          <w:b/>
          <w:bCs/>
        </w:rPr>
      </w:pPr>
    </w:p>
    <w:p w14:paraId="2F361B55" w14:textId="49C35A41" w:rsidR="0009510B" w:rsidRDefault="0009510B" w:rsidP="00570382">
      <w:pPr>
        <w:spacing w:after="0" w:line="240" w:lineRule="auto"/>
        <w:jc w:val="center"/>
        <w:rPr>
          <w:rFonts w:ascii="Arial Narrow" w:hAnsi="Arial Narrow" w:cs="Times New Roman"/>
          <w:b/>
          <w:bCs/>
        </w:rPr>
      </w:pPr>
    </w:p>
    <w:p w14:paraId="666A494D" w14:textId="168AF913" w:rsidR="0009510B" w:rsidRDefault="0009510B" w:rsidP="00570382">
      <w:pPr>
        <w:spacing w:after="0" w:line="240" w:lineRule="auto"/>
        <w:jc w:val="center"/>
        <w:rPr>
          <w:rFonts w:ascii="Arial Narrow" w:hAnsi="Arial Narrow" w:cs="Times New Roman"/>
          <w:b/>
          <w:bCs/>
        </w:rPr>
      </w:pPr>
    </w:p>
    <w:p w14:paraId="6C82092B" w14:textId="53A6AA76" w:rsidR="0009510B" w:rsidRDefault="0009510B" w:rsidP="00570382">
      <w:pPr>
        <w:spacing w:after="0" w:line="240" w:lineRule="auto"/>
        <w:jc w:val="center"/>
        <w:rPr>
          <w:rFonts w:ascii="Arial Narrow" w:hAnsi="Arial Narrow" w:cs="Times New Roman"/>
          <w:b/>
          <w:bCs/>
        </w:rPr>
      </w:pPr>
    </w:p>
    <w:p w14:paraId="3BE643D0" w14:textId="0BC45F54" w:rsidR="0009510B" w:rsidRDefault="0009510B"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1D3A3F9C" w:rsidR="00FF3059" w:rsidRDefault="00FF3059" w:rsidP="00FF3059">
      <w:pPr>
        <w:spacing w:after="0" w:line="240" w:lineRule="auto"/>
        <w:jc w:val="center"/>
        <w:rPr>
          <w:rFonts w:ascii="Arial Narrow" w:hAnsi="Arial Narrow" w:cs="Times New Roman"/>
          <w:b/>
          <w:bCs/>
        </w:rPr>
      </w:pPr>
      <w:r>
        <w:rPr>
          <w:rFonts w:ascii="Arial Narrow" w:hAnsi="Arial Narrow" w:cs="Times New Roman"/>
          <w:b/>
          <w:bCs/>
        </w:rPr>
        <w:t>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01D97ED4" w14:textId="77777777" w:rsidR="0009510B" w:rsidRPr="00AB5632" w:rsidRDefault="0009510B" w:rsidP="0009510B">
      <w:pPr>
        <w:pStyle w:val="Zoznam4"/>
      </w:pPr>
      <w:bookmarkStart w:id="16" w:name="OLE_LINK120"/>
      <w:bookmarkStart w:id="17" w:name="OLE_LINK114"/>
      <w:bookmarkStart w:id="18" w:name="OLE_LINK62"/>
      <w:r w:rsidRPr="00AB5632">
        <w:t>Pojmy a definície</w:t>
      </w:r>
    </w:p>
    <w:p w14:paraId="0FE34A7C" w14:textId="77777777" w:rsidR="0009510B" w:rsidRPr="00AB5632" w:rsidRDefault="0009510B" w:rsidP="0009510B">
      <w:pPr>
        <w:pStyle w:val="Zoznam5"/>
      </w:pPr>
      <w:r w:rsidRPr="00AB5632">
        <w:t>Pre účely stanovenia Ceny za dodávku elektriny sú rozhodujúce nasledovné pojmy, skratky, definície a vzorce:</w:t>
      </w:r>
    </w:p>
    <w:p w14:paraId="1DAD24C2" w14:textId="77777777" w:rsidR="0009510B" w:rsidRPr="00AB5632" w:rsidRDefault="0009510B" w:rsidP="0009510B">
      <w:pPr>
        <w:pStyle w:val="Zoznamsodrkami"/>
      </w:pPr>
      <w:r w:rsidRPr="00AB5632">
        <w:t>Základné pojmy</w:t>
      </w:r>
    </w:p>
    <w:tbl>
      <w:tblPr>
        <w:tblStyle w:val="Mriekatabuky"/>
        <w:tblW w:w="9180" w:type="dxa"/>
        <w:jc w:val="center"/>
        <w:tblLook w:val="0600" w:firstRow="0" w:lastRow="0" w:firstColumn="0" w:lastColumn="0" w:noHBand="1" w:noVBand="1"/>
      </w:tblPr>
      <w:tblGrid>
        <w:gridCol w:w="2544"/>
        <w:gridCol w:w="868"/>
        <w:gridCol w:w="5768"/>
      </w:tblGrid>
      <w:tr w:rsidR="0009510B" w:rsidRPr="00AB5632" w14:paraId="20B356EF" w14:textId="77777777" w:rsidTr="00626352">
        <w:trPr>
          <w:cantSplit/>
          <w:tblHeader/>
          <w:jc w:val="center"/>
        </w:trPr>
        <w:tc>
          <w:tcPr>
            <w:tcW w:w="2548" w:type="dxa"/>
            <w:shd w:val="clear" w:color="auto" w:fill="F2F2F2" w:themeFill="background1" w:themeFillShade="F2"/>
            <w:vAlign w:val="center"/>
          </w:tcPr>
          <w:p w14:paraId="1667E951" w14:textId="77777777" w:rsidR="0009510B" w:rsidRPr="00AB5632" w:rsidRDefault="0009510B" w:rsidP="00626352">
            <w:pPr>
              <w:pStyle w:val="Zhlavie10"/>
            </w:pPr>
            <w:r w:rsidRPr="00AB5632">
              <w:t>Pojem</w:t>
            </w:r>
          </w:p>
        </w:tc>
        <w:tc>
          <w:tcPr>
            <w:tcW w:w="849" w:type="dxa"/>
            <w:shd w:val="clear" w:color="auto" w:fill="F2F2F2" w:themeFill="background1" w:themeFillShade="F2"/>
            <w:vAlign w:val="center"/>
          </w:tcPr>
          <w:p w14:paraId="2B6E7CCD" w14:textId="77777777" w:rsidR="0009510B" w:rsidRPr="00AB5632" w:rsidRDefault="0009510B" w:rsidP="00626352">
            <w:pPr>
              <w:pStyle w:val="Zhlavie10"/>
            </w:pPr>
            <w:r w:rsidRPr="00AB5632">
              <w:t>Skratka</w:t>
            </w:r>
          </w:p>
        </w:tc>
        <w:tc>
          <w:tcPr>
            <w:tcW w:w="5783" w:type="dxa"/>
            <w:shd w:val="clear" w:color="auto" w:fill="F2F2F2" w:themeFill="background1" w:themeFillShade="F2"/>
            <w:vAlign w:val="center"/>
          </w:tcPr>
          <w:p w14:paraId="48B69D0A" w14:textId="77777777" w:rsidR="0009510B" w:rsidRPr="00AB5632" w:rsidRDefault="0009510B" w:rsidP="00626352">
            <w:pPr>
              <w:pStyle w:val="Zhlavie10"/>
            </w:pPr>
            <w:r w:rsidRPr="00AB5632">
              <w:t>Vysvetlenie</w:t>
            </w:r>
          </w:p>
        </w:tc>
      </w:tr>
      <w:tr w:rsidR="0009510B" w:rsidRPr="00AB5632" w14:paraId="25B44C57" w14:textId="77777777" w:rsidTr="00626352">
        <w:trPr>
          <w:jc w:val="center"/>
        </w:trPr>
        <w:tc>
          <w:tcPr>
            <w:tcW w:w="2548" w:type="dxa"/>
            <w:shd w:val="clear" w:color="auto" w:fill="auto"/>
            <w:vAlign w:val="center"/>
          </w:tcPr>
          <w:p w14:paraId="1B1AE18C" w14:textId="77777777" w:rsidR="0009510B" w:rsidRPr="00AB5632" w:rsidRDefault="0009510B" w:rsidP="00626352">
            <w:pPr>
              <w:pStyle w:val="Table"/>
              <w:rPr>
                <w:b/>
                <w:bCs/>
              </w:rPr>
            </w:pPr>
            <w:r w:rsidRPr="00AB5632">
              <w:rPr>
                <w:b/>
                <w:bCs/>
              </w:rPr>
              <w:t>Odberné miesta s </w:t>
            </w:r>
            <w:proofErr w:type="spellStart"/>
            <w:r w:rsidRPr="00AB5632">
              <w:rPr>
                <w:b/>
                <w:bCs/>
              </w:rPr>
              <w:t>priebehovým</w:t>
            </w:r>
            <w:proofErr w:type="spellEnd"/>
            <w:r w:rsidRPr="00AB5632">
              <w:rPr>
                <w:b/>
                <w:bCs/>
              </w:rPr>
              <w:t xml:space="preserve"> meraním</w:t>
            </w:r>
          </w:p>
        </w:tc>
        <w:tc>
          <w:tcPr>
            <w:tcW w:w="849" w:type="dxa"/>
            <w:vAlign w:val="center"/>
          </w:tcPr>
          <w:p w14:paraId="714B7FB7" w14:textId="77777777" w:rsidR="0009510B" w:rsidRPr="00AB5632" w:rsidRDefault="0009510B" w:rsidP="00626352">
            <w:pPr>
              <w:pStyle w:val="Table"/>
              <w:rPr>
                <w:rStyle w:val="Vrazn"/>
              </w:rPr>
            </w:pPr>
            <w:r w:rsidRPr="00AB5632">
              <w:rPr>
                <w:rStyle w:val="Vrazn"/>
              </w:rPr>
              <w:t>OM</w:t>
            </w:r>
            <w:r w:rsidRPr="00AB5632">
              <w:rPr>
                <w:rStyle w:val="Vrazn"/>
                <w:vertAlign w:val="subscript"/>
              </w:rPr>
              <w:t>A</w:t>
            </w:r>
          </w:p>
          <w:p w14:paraId="786F70BC" w14:textId="77777777" w:rsidR="0009510B" w:rsidRPr="00AB5632" w:rsidRDefault="0009510B" w:rsidP="00626352">
            <w:pPr>
              <w:pStyle w:val="Table"/>
              <w:rPr>
                <w:rStyle w:val="Vrazn"/>
              </w:rPr>
            </w:pPr>
          </w:p>
        </w:tc>
        <w:tc>
          <w:tcPr>
            <w:tcW w:w="5783" w:type="dxa"/>
            <w:shd w:val="clear" w:color="auto" w:fill="auto"/>
          </w:tcPr>
          <w:p w14:paraId="6644D3CE" w14:textId="77777777" w:rsidR="0009510B" w:rsidRPr="00AB5632" w:rsidRDefault="0009510B" w:rsidP="00626352">
            <w:pPr>
              <w:pStyle w:val="Table"/>
            </w:pPr>
            <w:r w:rsidRPr="00AB5632">
              <w:t>Odberné miesta s </w:t>
            </w:r>
            <w:proofErr w:type="spellStart"/>
            <w:r w:rsidRPr="00AB5632">
              <w:t>priebehovým</w:t>
            </w:r>
            <w:proofErr w:type="spellEnd"/>
            <w:r w:rsidRPr="00AB5632">
              <w:t xml:space="preserve"> meraním spotreby elektriny podľa Pravidiel trhu § 2 bod c) </w:t>
            </w:r>
          </w:p>
          <w:p w14:paraId="797E7B3F" w14:textId="77777777" w:rsidR="0009510B" w:rsidRPr="00AB5632" w:rsidRDefault="0009510B" w:rsidP="0009510B">
            <w:pPr>
              <w:pStyle w:val="Zoznamsodrkami2"/>
              <w:rPr>
                <w:color w:val="FF0000"/>
              </w:rPr>
            </w:pPr>
            <w:r w:rsidRPr="00AB5632">
              <w:t>číslo 1. (</w:t>
            </w:r>
            <w:proofErr w:type="spellStart"/>
            <w:r w:rsidRPr="00AB5632">
              <w:t>priebehové</w:t>
            </w:r>
            <w:proofErr w:type="spellEnd"/>
            <w:r w:rsidRPr="00AB5632">
              <w:t xml:space="preserve"> meranie s možnosťou diaľkového odpočtu – meranie typu A) a </w:t>
            </w:r>
          </w:p>
          <w:p w14:paraId="044B11EE" w14:textId="77777777" w:rsidR="0009510B" w:rsidRPr="00AB5632" w:rsidRDefault="0009510B" w:rsidP="0009510B">
            <w:pPr>
              <w:pStyle w:val="Zoznamsodrkami2"/>
              <w:rPr>
                <w:color w:val="FF0000"/>
              </w:rPr>
            </w:pPr>
            <w:r w:rsidRPr="00AB5632">
              <w:t>číslo 2. (</w:t>
            </w:r>
            <w:proofErr w:type="spellStart"/>
            <w:r w:rsidRPr="00AB5632">
              <w:t>priebehové</w:t>
            </w:r>
            <w:proofErr w:type="spellEnd"/>
            <w:r w:rsidRPr="00AB5632">
              <w:t xml:space="preserve"> meranie bez možnosti diaľkového odpočtu – meranie typu B)</w:t>
            </w:r>
          </w:p>
          <w:p w14:paraId="4EFB9C9F" w14:textId="77777777" w:rsidR="0009510B" w:rsidRPr="00AB5632" w:rsidRDefault="0009510B" w:rsidP="0009510B">
            <w:pPr>
              <w:pStyle w:val="Zoznamsodrkami2"/>
              <w:rPr>
                <w:color w:val="FF0000"/>
              </w:rPr>
            </w:pPr>
            <w:r w:rsidRPr="00AB5632">
              <w:t>majú mesačný odpočtový cyklus a mesačnú fakturáciu</w:t>
            </w:r>
          </w:p>
        </w:tc>
      </w:tr>
      <w:tr w:rsidR="0009510B" w:rsidRPr="00AB5632" w14:paraId="0EE60CF3" w14:textId="77777777" w:rsidTr="00626352">
        <w:trPr>
          <w:jc w:val="center"/>
        </w:trPr>
        <w:tc>
          <w:tcPr>
            <w:tcW w:w="2548" w:type="dxa"/>
            <w:shd w:val="clear" w:color="auto" w:fill="auto"/>
            <w:vAlign w:val="center"/>
          </w:tcPr>
          <w:p w14:paraId="10E17183" w14:textId="77777777" w:rsidR="0009510B" w:rsidRPr="00AB5632" w:rsidRDefault="0009510B" w:rsidP="00626352">
            <w:pPr>
              <w:pStyle w:val="Table"/>
              <w:rPr>
                <w:b/>
                <w:bCs/>
              </w:rPr>
            </w:pPr>
            <w:r w:rsidRPr="00AB5632">
              <w:rPr>
                <w:b/>
                <w:bCs/>
              </w:rPr>
              <w:t>Odberné miesta bez </w:t>
            </w:r>
            <w:proofErr w:type="spellStart"/>
            <w:r w:rsidRPr="00AB5632">
              <w:rPr>
                <w:b/>
                <w:bCs/>
              </w:rPr>
              <w:t>priebehového</w:t>
            </w:r>
            <w:proofErr w:type="spellEnd"/>
            <w:r w:rsidRPr="00AB5632">
              <w:rPr>
                <w:b/>
                <w:bCs/>
              </w:rPr>
              <w:t xml:space="preserve"> merania</w:t>
            </w:r>
          </w:p>
        </w:tc>
        <w:tc>
          <w:tcPr>
            <w:tcW w:w="849" w:type="dxa"/>
            <w:vAlign w:val="center"/>
          </w:tcPr>
          <w:p w14:paraId="33CC6224" w14:textId="77777777" w:rsidR="0009510B" w:rsidRPr="00AB5632" w:rsidRDefault="0009510B" w:rsidP="00626352">
            <w:pPr>
              <w:pStyle w:val="Table"/>
              <w:rPr>
                <w:rStyle w:val="Vrazn"/>
              </w:rPr>
            </w:pPr>
            <w:r w:rsidRPr="00AB5632">
              <w:rPr>
                <w:rStyle w:val="Vrazn"/>
              </w:rPr>
              <w:t>OM</w:t>
            </w:r>
            <w:r w:rsidRPr="00AB5632">
              <w:rPr>
                <w:rStyle w:val="Vrazn"/>
                <w:vertAlign w:val="subscript"/>
              </w:rPr>
              <w:t>C</w:t>
            </w:r>
          </w:p>
          <w:p w14:paraId="42DDD7B8" w14:textId="77777777" w:rsidR="0009510B" w:rsidRPr="00AB5632" w:rsidRDefault="0009510B" w:rsidP="00626352">
            <w:pPr>
              <w:pStyle w:val="Table"/>
              <w:rPr>
                <w:rStyle w:val="Vrazn"/>
              </w:rPr>
            </w:pPr>
          </w:p>
        </w:tc>
        <w:tc>
          <w:tcPr>
            <w:tcW w:w="5783" w:type="dxa"/>
            <w:shd w:val="clear" w:color="auto" w:fill="auto"/>
          </w:tcPr>
          <w:p w14:paraId="53A9831C" w14:textId="77777777" w:rsidR="0009510B" w:rsidRPr="00AB5632" w:rsidRDefault="0009510B" w:rsidP="00626352">
            <w:pPr>
              <w:pStyle w:val="Table"/>
            </w:pPr>
            <w:r w:rsidRPr="00AB5632">
              <w:t>Odberné miesta s </w:t>
            </w:r>
            <w:proofErr w:type="spellStart"/>
            <w:r w:rsidRPr="00AB5632">
              <w:t>priebehovým</w:t>
            </w:r>
            <w:proofErr w:type="spellEnd"/>
            <w:r w:rsidRPr="00AB5632">
              <w:t xml:space="preserve"> meraním spotreby elektriny podľa Pravidiel trhu § 2 bod c) číslo 3. (meranie bez </w:t>
            </w:r>
            <w:proofErr w:type="spellStart"/>
            <w:r w:rsidRPr="00AB5632">
              <w:t>priebehového</w:t>
            </w:r>
            <w:proofErr w:type="spellEnd"/>
            <w:r w:rsidRPr="00AB5632">
              <w:t xml:space="preserve"> merania a bez možnosti diaľkového odpočtu – meranie typu C)</w:t>
            </w:r>
          </w:p>
          <w:p w14:paraId="2917BE23" w14:textId="77777777" w:rsidR="0009510B" w:rsidRPr="00AB5632" w:rsidRDefault="0009510B" w:rsidP="0009510B">
            <w:pPr>
              <w:pStyle w:val="Zoznamsodrkami2"/>
            </w:pPr>
            <w:r w:rsidRPr="00AB5632">
              <w:t>majú spravidla ročný odpočtový cyklus a ročnú fakturáciu</w:t>
            </w:r>
          </w:p>
        </w:tc>
      </w:tr>
      <w:tr w:rsidR="0009510B" w:rsidRPr="00AB5632" w14:paraId="3398AEEA" w14:textId="77777777" w:rsidTr="00626352">
        <w:trPr>
          <w:jc w:val="center"/>
        </w:trPr>
        <w:tc>
          <w:tcPr>
            <w:tcW w:w="2548" w:type="dxa"/>
            <w:shd w:val="clear" w:color="auto" w:fill="auto"/>
            <w:vAlign w:val="center"/>
          </w:tcPr>
          <w:p w14:paraId="2A8B7DA7" w14:textId="77777777" w:rsidR="0009510B" w:rsidRPr="00AB5632" w:rsidRDefault="0009510B" w:rsidP="00626352">
            <w:pPr>
              <w:pStyle w:val="Table"/>
              <w:rPr>
                <w:b/>
                <w:bCs/>
              </w:rPr>
            </w:pPr>
            <w:r w:rsidRPr="00AB5632">
              <w:rPr>
                <w:b/>
                <w:bCs/>
              </w:rPr>
              <w:t>Odberné miesta s nemeraným odberom</w:t>
            </w:r>
          </w:p>
        </w:tc>
        <w:tc>
          <w:tcPr>
            <w:tcW w:w="849" w:type="dxa"/>
            <w:vAlign w:val="center"/>
          </w:tcPr>
          <w:p w14:paraId="44602C0F" w14:textId="77777777" w:rsidR="0009510B" w:rsidRPr="00AB5632" w:rsidRDefault="0009510B" w:rsidP="00626352">
            <w:pPr>
              <w:pStyle w:val="Table"/>
              <w:rPr>
                <w:rStyle w:val="Vrazn"/>
              </w:rPr>
            </w:pPr>
          </w:p>
        </w:tc>
        <w:tc>
          <w:tcPr>
            <w:tcW w:w="5783" w:type="dxa"/>
            <w:shd w:val="clear" w:color="auto" w:fill="auto"/>
          </w:tcPr>
          <w:p w14:paraId="388724B9" w14:textId="77777777" w:rsidR="0009510B" w:rsidRPr="00AB5632" w:rsidRDefault="0009510B" w:rsidP="00626352">
            <w:pPr>
              <w:pStyle w:val="Table"/>
            </w:pPr>
            <w:r w:rsidRPr="00AB5632">
              <w:t>Odberné miesta, ktoré majú v zozname Odberných miest, v kolónke „Typ merania“ uvedenú poznámku „</w:t>
            </w:r>
            <w:r w:rsidRPr="00AB5632">
              <w:rPr>
                <w:b/>
                <w:bCs/>
              </w:rPr>
              <w:t>N</w:t>
            </w:r>
            <w:r w:rsidRPr="00AB5632">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09510B" w:rsidRPr="00AB5632" w14:paraId="6AA2D93D" w14:textId="77777777" w:rsidTr="00626352">
        <w:trPr>
          <w:jc w:val="center"/>
        </w:trPr>
        <w:tc>
          <w:tcPr>
            <w:tcW w:w="2548" w:type="dxa"/>
            <w:shd w:val="clear" w:color="auto" w:fill="auto"/>
            <w:vAlign w:val="center"/>
          </w:tcPr>
          <w:p w14:paraId="037B1B75" w14:textId="77777777" w:rsidR="0009510B" w:rsidRPr="00AB5632" w:rsidRDefault="0009510B" w:rsidP="00626352">
            <w:pPr>
              <w:pStyle w:val="Table"/>
              <w:rPr>
                <w:b/>
                <w:bCs/>
              </w:rPr>
            </w:pPr>
            <w:r w:rsidRPr="00AB5632">
              <w:rPr>
                <w:b/>
                <w:bCs/>
              </w:rPr>
              <w:t>Odberné miesto</w:t>
            </w:r>
          </w:p>
        </w:tc>
        <w:tc>
          <w:tcPr>
            <w:tcW w:w="849" w:type="dxa"/>
            <w:vAlign w:val="center"/>
          </w:tcPr>
          <w:p w14:paraId="24D8FFD1" w14:textId="77777777" w:rsidR="0009510B" w:rsidRPr="00AB5632" w:rsidRDefault="0009510B" w:rsidP="00626352">
            <w:pPr>
              <w:pStyle w:val="Table"/>
              <w:rPr>
                <w:rStyle w:val="Vrazn"/>
              </w:rPr>
            </w:pPr>
            <w:r w:rsidRPr="00AB5632">
              <w:rPr>
                <w:rStyle w:val="Vrazn"/>
              </w:rPr>
              <w:t>OM</w:t>
            </w:r>
          </w:p>
        </w:tc>
        <w:tc>
          <w:tcPr>
            <w:tcW w:w="5783" w:type="dxa"/>
            <w:shd w:val="clear" w:color="auto" w:fill="auto"/>
          </w:tcPr>
          <w:p w14:paraId="33DAC420" w14:textId="77777777" w:rsidR="0009510B" w:rsidRPr="00AB5632" w:rsidRDefault="0009510B" w:rsidP="0009510B">
            <w:pPr>
              <w:pStyle w:val="Zoznamsodrkami2"/>
            </w:pPr>
            <w:r w:rsidRPr="00AB5632">
              <w:t>OM</w:t>
            </w:r>
            <w:r w:rsidRPr="00AB5632">
              <w:rPr>
                <w:vertAlign w:val="subscript"/>
              </w:rPr>
              <w:t>A</w:t>
            </w:r>
            <w:r w:rsidRPr="00AB5632">
              <w:t xml:space="preserve"> alebo OM</w:t>
            </w:r>
            <w:r w:rsidRPr="00AB5632">
              <w:rPr>
                <w:vertAlign w:val="subscript"/>
              </w:rPr>
              <w:t>C</w:t>
            </w:r>
            <w:r w:rsidRPr="00AB5632">
              <w:t xml:space="preserve"> alebo Odberné miesta s nemeraným odberom</w:t>
            </w:r>
          </w:p>
        </w:tc>
      </w:tr>
      <w:tr w:rsidR="0009510B" w:rsidRPr="00AB5632" w14:paraId="334433BF" w14:textId="77777777" w:rsidTr="00626352">
        <w:trPr>
          <w:jc w:val="center"/>
        </w:trPr>
        <w:tc>
          <w:tcPr>
            <w:tcW w:w="2548" w:type="dxa"/>
            <w:shd w:val="clear" w:color="auto" w:fill="auto"/>
            <w:vAlign w:val="center"/>
          </w:tcPr>
          <w:p w14:paraId="0474DC4B" w14:textId="77777777" w:rsidR="0009510B" w:rsidRPr="00AB5632" w:rsidRDefault="0009510B" w:rsidP="00626352">
            <w:pPr>
              <w:pStyle w:val="Table"/>
              <w:rPr>
                <w:b/>
                <w:bCs/>
                <w:color w:val="FF0000"/>
              </w:rPr>
            </w:pPr>
            <w:r w:rsidRPr="00AB5632">
              <w:rPr>
                <w:b/>
                <w:bCs/>
              </w:rPr>
              <w:t>Pravidlá trhu</w:t>
            </w:r>
          </w:p>
        </w:tc>
        <w:tc>
          <w:tcPr>
            <w:tcW w:w="849" w:type="dxa"/>
            <w:vAlign w:val="center"/>
          </w:tcPr>
          <w:p w14:paraId="1233E8A3" w14:textId="77777777" w:rsidR="0009510B" w:rsidRPr="00AB5632" w:rsidRDefault="0009510B" w:rsidP="00626352">
            <w:pPr>
              <w:pStyle w:val="Table"/>
              <w:rPr>
                <w:rStyle w:val="Vrazn"/>
              </w:rPr>
            </w:pPr>
          </w:p>
        </w:tc>
        <w:tc>
          <w:tcPr>
            <w:tcW w:w="5783" w:type="dxa"/>
            <w:shd w:val="clear" w:color="auto" w:fill="auto"/>
          </w:tcPr>
          <w:p w14:paraId="6C708250" w14:textId="77777777" w:rsidR="0009510B" w:rsidRPr="00AB5632" w:rsidRDefault="0009510B" w:rsidP="0009510B">
            <w:pPr>
              <w:pStyle w:val="Zoznamsodrkami2"/>
            </w:pPr>
            <w:r w:rsidRPr="00AB5632">
              <w:t>Vyhláška č. 24/2013 Úradu pre reguláciu sieťových odvetví, ktorou sa ustanovujú pravidlá pre fungovanie vnútorného trhu s elektrinou a pravidlá pre fungovanie vnútorného trhu s plynom v platnom znení</w:t>
            </w:r>
          </w:p>
        </w:tc>
      </w:tr>
      <w:tr w:rsidR="0009510B" w:rsidRPr="00AB5632" w14:paraId="758AC65A" w14:textId="77777777" w:rsidTr="00626352">
        <w:trPr>
          <w:jc w:val="center"/>
        </w:trPr>
        <w:tc>
          <w:tcPr>
            <w:tcW w:w="2548" w:type="dxa"/>
            <w:shd w:val="clear" w:color="auto" w:fill="auto"/>
            <w:vAlign w:val="center"/>
          </w:tcPr>
          <w:p w14:paraId="5A81E374" w14:textId="77777777" w:rsidR="0009510B" w:rsidRPr="00AB5632" w:rsidRDefault="0009510B" w:rsidP="00626352">
            <w:pPr>
              <w:pStyle w:val="Table"/>
              <w:rPr>
                <w:b/>
                <w:bCs/>
              </w:rPr>
            </w:pPr>
            <w:r w:rsidRPr="00AB5632">
              <w:rPr>
                <w:b/>
                <w:bCs/>
              </w:rPr>
              <w:t>Prevádzkový poriadok</w:t>
            </w:r>
          </w:p>
        </w:tc>
        <w:tc>
          <w:tcPr>
            <w:tcW w:w="849" w:type="dxa"/>
            <w:vAlign w:val="center"/>
          </w:tcPr>
          <w:p w14:paraId="43FFB467" w14:textId="77777777" w:rsidR="0009510B" w:rsidRPr="00AB5632" w:rsidRDefault="0009510B" w:rsidP="00626352">
            <w:pPr>
              <w:pStyle w:val="Table"/>
              <w:rPr>
                <w:rStyle w:val="Vrazn"/>
              </w:rPr>
            </w:pPr>
          </w:p>
        </w:tc>
        <w:tc>
          <w:tcPr>
            <w:tcW w:w="5783" w:type="dxa"/>
            <w:shd w:val="clear" w:color="auto" w:fill="auto"/>
          </w:tcPr>
          <w:p w14:paraId="43B8B666" w14:textId="77777777" w:rsidR="0009510B" w:rsidRPr="00AB5632" w:rsidRDefault="0009510B" w:rsidP="0009510B">
            <w:pPr>
              <w:pStyle w:val="Zoznamsodrkami2"/>
            </w:pPr>
            <w:r w:rsidRPr="00AB5632">
              <w:t xml:space="preserve">dokument vydaný PDS a schválený ÚRSO, upravujúci podmienky prevádzky distribučnej sústavy a práva a povinnosti jednotlivých účastníkov trhu s elektrinou, </w:t>
            </w:r>
          </w:p>
          <w:p w14:paraId="203A3EDF" w14:textId="77777777" w:rsidR="0009510B" w:rsidRPr="00AB5632" w:rsidRDefault="0009510B" w:rsidP="0009510B">
            <w:pPr>
              <w:pStyle w:val="Zoznamsodrkami2"/>
            </w:pPr>
            <w:r w:rsidRPr="00AB5632">
              <w:t>platné znenie Prevádzkového poriadku je zverejnené na webovom sídle príslušnej PDS.</w:t>
            </w:r>
          </w:p>
        </w:tc>
      </w:tr>
      <w:tr w:rsidR="0009510B" w:rsidRPr="00AB5632" w14:paraId="3AD89D01" w14:textId="77777777" w:rsidTr="00626352">
        <w:trPr>
          <w:jc w:val="center"/>
        </w:trPr>
        <w:tc>
          <w:tcPr>
            <w:tcW w:w="2548" w:type="dxa"/>
            <w:shd w:val="clear" w:color="auto" w:fill="auto"/>
            <w:vAlign w:val="center"/>
          </w:tcPr>
          <w:p w14:paraId="67E866A0" w14:textId="77777777" w:rsidR="0009510B" w:rsidRPr="00AB5632" w:rsidRDefault="0009510B" w:rsidP="00626352">
            <w:pPr>
              <w:pStyle w:val="Table"/>
              <w:rPr>
                <w:b/>
                <w:bCs/>
              </w:rPr>
            </w:pPr>
            <w:r w:rsidRPr="00AB5632">
              <w:rPr>
                <w:b/>
                <w:bCs/>
              </w:rPr>
              <w:t>Typový diagram</w:t>
            </w:r>
          </w:p>
        </w:tc>
        <w:tc>
          <w:tcPr>
            <w:tcW w:w="849" w:type="dxa"/>
            <w:vAlign w:val="center"/>
          </w:tcPr>
          <w:p w14:paraId="59B5F2BF" w14:textId="77777777" w:rsidR="0009510B" w:rsidRPr="00AB5632" w:rsidRDefault="0009510B" w:rsidP="00626352">
            <w:pPr>
              <w:pStyle w:val="Table"/>
              <w:rPr>
                <w:rStyle w:val="Vrazn"/>
              </w:rPr>
            </w:pPr>
            <w:r w:rsidRPr="00AB5632">
              <w:rPr>
                <w:rStyle w:val="Vrazn"/>
              </w:rPr>
              <w:t>TDO</w:t>
            </w:r>
          </w:p>
        </w:tc>
        <w:tc>
          <w:tcPr>
            <w:tcW w:w="5783" w:type="dxa"/>
            <w:shd w:val="clear" w:color="auto" w:fill="auto"/>
          </w:tcPr>
          <w:p w14:paraId="342E756F" w14:textId="77777777" w:rsidR="0009510B" w:rsidRPr="00AB5632" w:rsidRDefault="0009510B" w:rsidP="0009510B">
            <w:pPr>
              <w:pStyle w:val="Zoznamsodrkami2"/>
            </w:pPr>
            <w:r w:rsidRPr="00AB5632">
              <w:t xml:space="preserve">Typovým diagramom odberu je v elektroenergetike podľa § 2 bod 17 Zákona o energetike </w:t>
            </w:r>
            <w:r w:rsidRPr="00AB5632">
              <w:rPr>
                <w:u w:val="single"/>
              </w:rPr>
              <w:t>postupnosť</w:t>
            </w:r>
            <w:r w:rsidRPr="00AB5632">
              <w:t xml:space="preserve"> hodnôt priemerných hodinových odberov za rok, na ktorej základe je určené množstvo odberu elektriny odberateľmi elektriny bez </w:t>
            </w:r>
            <w:proofErr w:type="spellStart"/>
            <w:r w:rsidRPr="00AB5632">
              <w:t>priebehového</w:t>
            </w:r>
            <w:proofErr w:type="spellEnd"/>
            <w:r w:rsidRPr="00AB5632">
              <w:t xml:space="preserve"> merania, využívaná na potreby zúčtovania odchýlky subjektu zúčtovania.</w:t>
            </w:r>
          </w:p>
          <w:p w14:paraId="755BFA50" w14:textId="77777777" w:rsidR="0009510B" w:rsidRPr="00AB5632" w:rsidRDefault="0009510B" w:rsidP="0009510B">
            <w:pPr>
              <w:pStyle w:val="Zoznamsodrkami2"/>
            </w:pPr>
            <w:r w:rsidRPr="00AB5632">
              <w:t>Použitie Typových diagramov bližšie špecifikujú Pravidlá trhu.</w:t>
            </w:r>
          </w:p>
          <w:p w14:paraId="649ECAD8" w14:textId="77777777" w:rsidR="0009510B" w:rsidRPr="00AB5632" w:rsidRDefault="0009510B" w:rsidP="0009510B">
            <w:pPr>
              <w:pStyle w:val="Zoznamsodrkami2"/>
            </w:pPr>
            <w:r w:rsidRPr="00AB5632">
              <w:t xml:space="preserve">Za účelom stanovenia spotreby elektriny v konkrétnych hodinách v Odberných miestach bez </w:t>
            </w:r>
            <w:proofErr w:type="spellStart"/>
            <w:r w:rsidRPr="00AB5632">
              <w:t>priebehového</w:t>
            </w:r>
            <w:proofErr w:type="spellEnd"/>
            <w:r w:rsidRPr="00AB5632">
              <w:t xml:space="preserve"> merania (viď nižšie Hodinová spotreba OM</w:t>
            </w:r>
            <w:r w:rsidRPr="00AB5632">
              <w:rPr>
                <w:vertAlign w:val="subscript"/>
              </w:rPr>
              <w:t>C</w:t>
            </w:r>
            <w:r w:rsidRPr="00AB5632">
              <w:t>) sa použije Typový diagram.</w:t>
            </w:r>
          </w:p>
        </w:tc>
      </w:tr>
    </w:tbl>
    <w:p w14:paraId="230C15B8" w14:textId="77777777" w:rsidR="0009510B" w:rsidRPr="00AB5632" w:rsidRDefault="0009510B" w:rsidP="0009510B">
      <w:pPr>
        <w:pStyle w:val="Zoznamsodrkami"/>
      </w:pPr>
      <w:r w:rsidRPr="00AB5632">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09510B" w:rsidRPr="00AB5632" w14:paraId="08483CC7" w14:textId="77777777" w:rsidTr="00626352">
        <w:trPr>
          <w:jc w:val="center"/>
        </w:trPr>
        <w:tc>
          <w:tcPr>
            <w:tcW w:w="2551" w:type="dxa"/>
            <w:shd w:val="clear" w:color="auto" w:fill="F2F2F2" w:themeFill="background1" w:themeFillShade="F2"/>
            <w:vAlign w:val="center"/>
          </w:tcPr>
          <w:p w14:paraId="21A9EBF8" w14:textId="77777777" w:rsidR="0009510B" w:rsidRPr="00AB5632" w:rsidRDefault="0009510B" w:rsidP="00626352">
            <w:pPr>
              <w:pStyle w:val="Zhlavie10"/>
            </w:pPr>
            <w:r w:rsidRPr="00AB5632">
              <w:t>Pojem</w:t>
            </w:r>
          </w:p>
        </w:tc>
        <w:tc>
          <w:tcPr>
            <w:tcW w:w="849" w:type="dxa"/>
            <w:shd w:val="clear" w:color="auto" w:fill="F2F2F2" w:themeFill="background1" w:themeFillShade="F2"/>
            <w:vAlign w:val="center"/>
          </w:tcPr>
          <w:p w14:paraId="0ECE3E72" w14:textId="77777777" w:rsidR="0009510B" w:rsidRPr="00AB5632" w:rsidRDefault="0009510B" w:rsidP="00626352">
            <w:pPr>
              <w:pStyle w:val="Zhlavie10"/>
            </w:pPr>
            <w:r w:rsidRPr="00AB5632">
              <w:t>Index</w:t>
            </w:r>
          </w:p>
        </w:tc>
        <w:tc>
          <w:tcPr>
            <w:tcW w:w="5804" w:type="dxa"/>
            <w:shd w:val="clear" w:color="auto" w:fill="F2F2F2" w:themeFill="background1" w:themeFillShade="F2"/>
            <w:vAlign w:val="center"/>
          </w:tcPr>
          <w:p w14:paraId="193E5B7B" w14:textId="77777777" w:rsidR="0009510B" w:rsidRPr="00AB5632" w:rsidRDefault="0009510B" w:rsidP="00626352">
            <w:pPr>
              <w:pStyle w:val="Zhlavie10"/>
            </w:pPr>
            <w:r w:rsidRPr="00AB5632">
              <w:t>Vysvetlenie</w:t>
            </w:r>
          </w:p>
        </w:tc>
      </w:tr>
      <w:tr w:rsidR="0009510B" w:rsidRPr="00AB5632" w14:paraId="040E565E" w14:textId="77777777" w:rsidTr="00626352">
        <w:trPr>
          <w:jc w:val="center"/>
        </w:trPr>
        <w:tc>
          <w:tcPr>
            <w:tcW w:w="2551" w:type="dxa"/>
            <w:shd w:val="clear" w:color="auto" w:fill="auto"/>
            <w:vAlign w:val="center"/>
          </w:tcPr>
          <w:p w14:paraId="56504F85" w14:textId="77777777" w:rsidR="0009510B" w:rsidRPr="00AB5632" w:rsidRDefault="0009510B" w:rsidP="00626352">
            <w:pPr>
              <w:rPr>
                <w:rStyle w:val="Vrazn"/>
                <w:rFonts w:eastAsia="PoloR"/>
              </w:rPr>
            </w:pPr>
            <w:r w:rsidRPr="00AB5632">
              <w:rPr>
                <w:rStyle w:val="Vrazn"/>
                <w:rFonts w:eastAsia="PoloR"/>
              </w:rPr>
              <w:t>hodina</w:t>
            </w:r>
          </w:p>
        </w:tc>
        <w:tc>
          <w:tcPr>
            <w:tcW w:w="849" w:type="dxa"/>
            <w:vAlign w:val="center"/>
          </w:tcPr>
          <w:p w14:paraId="6207881E" w14:textId="77777777" w:rsidR="0009510B" w:rsidRPr="00AB5632" w:rsidRDefault="0009510B" w:rsidP="00626352">
            <w:pPr>
              <w:pStyle w:val="Table"/>
              <w:rPr>
                <w:rStyle w:val="Vrazn"/>
              </w:rPr>
            </w:pPr>
            <w:r w:rsidRPr="00AB5632">
              <w:rPr>
                <w:rStyle w:val="Vrazn"/>
              </w:rPr>
              <w:t>h</w:t>
            </w:r>
          </w:p>
        </w:tc>
        <w:tc>
          <w:tcPr>
            <w:tcW w:w="5804" w:type="dxa"/>
            <w:shd w:val="clear" w:color="auto" w:fill="auto"/>
          </w:tcPr>
          <w:p w14:paraId="55FDC8D4" w14:textId="77777777" w:rsidR="0009510B" w:rsidRPr="00AB5632" w:rsidRDefault="0009510B" w:rsidP="0009510B">
            <w:pPr>
              <w:pStyle w:val="Zoznamsodrkami2"/>
            </w:pPr>
            <w:r w:rsidRPr="00AB5632">
              <w:t>poradie hodiny príslušného Fakturačného obdobia</w:t>
            </w:r>
          </w:p>
        </w:tc>
      </w:tr>
      <w:tr w:rsidR="0009510B" w:rsidRPr="00AB5632" w14:paraId="610EEC4E" w14:textId="77777777" w:rsidTr="00626352">
        <w:trPr>
          <w:jc w:val="center"/>
        </w:trPr>
        <w:tc>
          <w:tcPr>
            <w:tcW w:w="2551" w:type="dxa"/>
            <w:shd w:val="clear" w:color="auto" w:fill="auto"/>
            <w:vAlign w:val="center"/>
          </w:tcPr>
          <w:p w14:paraId="35141676" w14:textId="77777777" w:rsidR="0009510B" w:rsidRPr="00AB5632" w:rsidRDefault="0009510B" w:rsidP="00626352">
            <w:pPr>
              <w:rPr>
                <w:rStyle w:val="Vrazn"/>
                <w:rFonts w:eastAsia="PoloR"/>
              </w:rPr>
            </w:pPr>
            <w:r w:rsidRPr="00AB5632">
              <w:rPr>
                <w:rStyle w:val="Vrazn"/>
                <w:rFonts w:eastAsia="PoloR"/>
              </w:rPr>
              <w:t>počet hodín vo Fakturačnom období</w:t>
            </w:r>
          </w:p>
        </w:tc>
        <w:tc>
          <w:tcPr>
            <w:tcW w:w="849" w:type="dxa"/>
            <w:vAlign w:val="center"/>
          </w:tcPr>
          <w:p w14:paraId="5EAE7D30" w14:textId="77777777" w:rsidR="0009510B" w:rsidRPr="00AB5632" w:rsidRDefault="0009510B" w:rsidP="00626352">
            <w:pPr>
              <w:pStyle w:val="Table"/>
              <w:rPr>
                <w:rStyle w:val="Vrazn"/>
              </w:rPr>
            </w:pPr>
            <w:r w:rsidRPr="00AB5632">
              <w:rPr>
                <w:rStyle w:val="Vrazn"/>
              </w:rPr>
              <w:t>H</w:t>
            </w:r>
          </w:p>
        </w:tc>
        <w:tc>
          <w:tcPr>
            <w:tcW w:w="5804" w:type="dxa"/>
            <w:shd w:val="clear" w:color="auto" w:fill="auto"/>
          </w:tcPr>
          <w:p w14:paraId="67058FD9" w14:textId="77777777" w:rsidR="0009510B" w:rsidRPr="00AB5632" w:rsidRDefault="0009510B" w:rsidP="0009510B">
            <w:pPr>
              <w:pStyle w:val="Zoznamsodrkami2"/>
            </w:pPr>
            <w:r w:rsidRPr="00AB5632">
              <w:t>počet hodín príslušného Fakturačného obdobia</w:t>
            </w:r>
          </w:p>
          <w:p w14:paraId="5B6C69DF" w14:textId="77777777" w:rsidR="0009510B" w:rsidRPr="00AB5632" w:rsidRDefault="0009510B" w:rsidP="00626352">
            <w:pPr>
              <w:pStyle w:val="Zoznamsodrkami3"/>
            </w:pPr>
            <w:r w:rsidRPr="00AB5632">
              <w:t>líši sa podľa OM,</w:t>
            </w:r>
          </w:p>
          <w:p w14:paraId="69267B62" w14:textId="77777777" w:rsidR="0009510B" w:rsidRPr="00AB5632" w:rsidRDefault="0009510B" w:rsidP="00626352">
            <w:pPr>
              <w:pStyle w:val="Zoznamsodrkami3"/>
            </w:pPr>
            <w:r w:rsidRPr="00AB5632">
              <w:t>pri OM</w:t>
            </w:r>
            <w:r w:rsidRPr="00AB5632">
              <w:rPr>
                <w:vertAlign w:val="subscript"/>
              </w:rPr>
              <w:t>A</w:t>
            </w:r>
            <w:r w:rsidRPr="00AB5632">
              <w:t xml:space="preserve"> je to spravidla počet hodín v príslušnom fakturovanom mesiaci,</w:t>
            </w:r>
          </w:p>
          <w:p w14:paraId="0458439C" w14:textId="77777777" w:rsidR="0009510B" w:rsidRPr="00AB5632" w:rsidRDefault="0009510B" w:rsidP="00626352">
            <w:pPr>
              <w:pStyle w:val="Zoznamsodrkami3"/>
            </w:pPr>
            <w:r w:rsidRPr="00AB5632">
              <w:t>pri OM</w:t>
            </w:r>
            <w:r w:rsidRPr="00AB5632">
              <w:rPr>
                <w:vertAlign w:val="subscript"/>
              </w:rPr>
              <w:t>C</w:t>
            </w:r>
            <w:r w:rsidRPr="00AB5632">
              <w:t xml:space="preserve"> je to spravidla počet hodín v príslušnom roku mesiaci,</w:t>
            </w:r>
          </w:p>
          <w:p w14:paraId="49266574" w14:textId="77777777" w:rsidR="0009510B" w:rsidRPr="00AB5632" w:rsidRDefault="0009510B" w:rsidP="00626352">
            <w:pPr>
              <w:pStyle w:val="Zoznamsodrkami3"/>
            </w:pPr>
            <w:r w:rsidRPr="00AB5632">
              <w:t>pri mimoriadnych odpočtoch zodpovedá počtu hodín obdobia, za ktoré sa mimoriadny odpočet vykonáva.</w:t>
            </w:r>
          </w:p>
        </w:tc>
      </w:tr>
    </w:tbl>
    <w:p w14:paraId="148C4C06" w14:textId="77777777" w:rsidR="0009510B" w:rsidRPr="00AB5632" w:rsidRDefault="0009510B" w:rsidP="0009510B">
      <w:pPr>
        <w:pStyle w:val="Zoznamsodrkami"/>
      </w:pPr>
      <w:r w:rsidRPr="00AB5632">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09510B" w:rsidRPr="00AB5632" w14:paraId="15805B5F" w14:textId="77777777" w:rsidTr="00626352">
        <w:trPr>
          <w:tblHeader/>
          <w:jc w:val="center"/>
        </w:trPr>
        <w:tc>
          <w:tcPr>
            <w:tcW w:w="2376" w:type="dxa"/>
            <w:shd w:val="clear" w:color="auto" w:fill="F2F2F2" w:themeFill="background1" w:themeFillShade="F2"/>
          </w:tcPr>
          <w:p w14:paraId="654D33EE" w14:textId="77777777" w:rsidR="0009510B" w:rsidRPr="00AB5632" w:rsidRDefault="0009510B" w:rsidP="00626352">
            <w:pPr>
              <w:pStyle w:val="Zhlavie10"/>
            </w:pPr>
            <w:r w:rsidRPr="00AB5632">
              <w:t>Pojem</w:t>
            </w:r>
          </w:p>
        </w:tc>
        <w:tc>
          <w:tcPr>
            <w:tcW w:w="851" w:type="dxa"/>
            <w:shd w:val="clear" w:color="auto" w:fill="F2F2F2" w:themeFill="background1" w:themeFillShade="F2"/>
          </w:tcPr>
          <w:p w14:paraId="5DCE22AD" w14:textId="77777777" w:rsidR="0009510B" w:rsidRPr="00AB5632" w:rsidRDefault="0009510B" w:rsidP="00626352">
            <w:pPr>
              <w:pStyle w:val="Zhlavie10"/>
            </w:pPr>
            <w:r w:rsidRPr="00AB5632">
              <w:t>Skratka</w:t>
            </w:r>
          </w:p>
        </w:tc>
        <w:tc>
          <w:tcPr>
            <w:tcW w:w="4536" w:type="dxa"/>
            <w:shd w:val="clear" w:color="auto" w:fill="F2F2F2" w:themeFill="background1" w:themeFillShade="F2"/>
          </w:tcPr>
          <w:p w14:paraId="4815324B" w14:textId="77777777" w:rsidR="0009510B" w:rsidRPr="00AB5632" w:rsidRDefault="0009510B" w:rsidP="00626352">
            <w:pPr>
              <w:pStyle w:val="Zhlavie10"/>
            </w:pPr>
            <w:r w:rsidRPr="00AB5632">
              <w:t>Vysvetlenie</w:t>
            </w:r>
          </w:p>
        </w:tc>
        <w:tc>
          <w:tcPr>
            <w:tcW w:w="1479" w:type="dxa"/>
            <w:shd w:val="clear" w:color="auto" w:fill="F2F2F2" w:themeFill="background1" w:themeFillShade="F2"/>
          </w:tcPr>
          <w:p w14:paraId="70375337" w14:textId="77777777" w:rsidR="0009510B" w:rsidRPr="00AB5632" w:rsidRDefault="0009510B" w:rsidP="00626352">
            <w:pPr>
              <w:pStyle w:val="Zhlavie10"/>
            </w:pPr>
            <w:r w:rsidRPr="00AB5632">
              <w:t>Merná jednotka</w:t>
            </w:r>
          </w:p>
        </w:tc>
      </w:tr>
      <w:tr w:rsidR="0009510B" w:rsidRPr="00AB5632" w14:paraId="4AB124DA" w14:textId="77777777" w:rsidTr="00626352">
        <w:trPr>
          <w:jc w:val="center"/>
        </w:trPr>
        <w:tc>
          <w:tcPr>
            <w:tcW w:w="2376" w:type="dxa"/>
            <w:shd w:val="clear" w:color="auto" w:fill="auto"/>
          </w:tcPr>
          <w:p w14:paraId="783DFEAF" w14:textId="77777777" w:rsidR="0009510B" w:rsidRPr="00AB5632" w:rsidRDefault="0009510B" w:rsidP="00626352">
            <w:pPr>
              <w:pStyle w:val="Table"/>
              <w:rPr>
                <w:rStyle w:val="Vrazn"/>
              </w:rPr>
            </w:pPr>
            <w:r w:rsidRPr="00AB5632">
              <w:rPr>
                <w:rStyle w:val="Vrazn"/>
              </w:rPr>
              <w:t>Aditívum</w:t>
            </w:r>
          </w:p>
        </w:tc>
        <w:tc>
          <w:tcPr>
            <w:tcW w:w="851" w:type="dxa"/>
            <w:shd w:val="clear" w:color="auto" w:fill="auto"/>
          </w:tcPr>
          <w:p w14:paraId="7D608219" w14:textId="77777777" w:rsidR="0009510B" w:rsidRPr="00AB5632" w:rsidRDefault="0009510B" w:rsidP="00626352">
            <w:pPr>
              <w:pStyle w:val="Table"/>
              <w:rPr>
                <w:rStyle w:val="Vrazn"/>
              </w:rPr>
            </w:pPr>
            <w:r w:rsidRPr="00AB5632">
              <w:rPr>
                <w:rStyle w:val="Vrazn"/>
              </w:rPr>
              <w:t>A</w:t>
            </w:r>
          </w:p>
        </w:tc>
        <w:tc>
          <w:tcPr>
            <w:tcW w:w="4536" w:type="dxa"/>
            <w:shd w:val="clear" w:color="auto" w:fill="auto"/>
          </w:tcPr>
          <w:p w14:paraId="7A6BE31A" w14:textId="77777777" w:rsidR="0009510B" w:rsidRPr="00AB5632" w:rsidRDefault="0009510B" w:rsidP="0009510B">
            <w:pPr>
              <w:pStyle w:val="Zoznamsodrkami2"/>
            </w:pPr>
            <w:r w:rsidRPr="00AB5632">
              <w:t>prirážka o ktorú sa zvýši Spotová cena,</w:t>
            </w:r>
          </w:p>
          <w:p w14:paraId="17F45D8D" w14:textId="77777777" w:rsidR="0009510B" w:rsidRPr="00AB5632" w:rsidRDefault="0009510B" w:rsidP="0009510B">
            <w:pPr>
              <w:pStyle w:val="Zoznamsodrkami2"/>
            </w:pPr>
            <w:r w:rsidRPr="00AB5632">
              <w:t>[</w:t>
            </w:r>
            <w:r w:rsidRPr="00AB5632">
              <w:sym w:font="Wingdings" w:char="F09F"/>
            </w:r>
            <w:r w:rsidRPr="00AB5632">
              <w:t>] (hodnota úspešného uchádzača) výsledok verejného obstarávania,</w:t>
            </w:r>
          </w:p>
          <w:p w14:paraId="14B59C81" w14:textId="77777777" w:rsidR="0009510B" w:rsidRPr="00AB5632" w:rsidRDefault="0009510B" w:rsidP="0009510B">
            <w:pPr>
              <w:pStyle w:val="Zoznamsodrkami2"/>
            </w:pPr>
            <w:r w:rsidRPr="00AB5632">
              <w:t>vyjadrené číselne s 2 desatinnými miestami,</w:t>
            </w:r>
          </w:p>
          <w:p w14:paraId="1641AFC5" w14:textId="77777777" w:rsidR="0009510B" w:rsidRPr="00AB5632" w:rsidRDefault="0009510B" w:rsidP="0009510B">
            <w:pPr>
              <w:pStyle w:val="Zoznamsodrkami2"/>
            </w:pPr>
            <w:r w:rsidRPr="00AB5632">
              <w:lastRenderedPageBreak/>
              <w:t>nemenné počas celého Zmluvného obdobia,</w:t>
            </w:r>
          </w:p>
        </w:tc>
        <w:tc>
          <w:tcPr>
            <w:tcW w:w="1479" w:type="dxa"/>
            <w:shd w:val="clear" w:color="auto" w:fill="auto"/>
            <w:vAlign w:val="center"/>
          </w:tcPr>
          <w:p w14:paraId="7100E72A" w14:textId="77777777" w:rsidR="0009510B" w:rsidRPr="00AB5632" w:rsidRDefault="0009510B" w:rsidP="00626352">
            <w:pPr>
              <w:pStyle w:val="Table"/>
            </w:pPr>
            <w:r w:rsidRPr="00AB5632">
              <w:lastRenderedPageBreak/>
              <w:t>EUR/MWh</w:t>
            </w:r>
          </w:p>
        </w:tc>
      </w:tr>
      <w:tr w:rsidR="0009510B" w:rsidRPr="00AB5632" w14:paraId="2BBE9D3C" w14:textId="77777777" w:rsidTr="00626352">
        <w:trPr>
          <w:jc w:val="center"/>
        </w:trPr>
        <w:tc>
          <w:tcPr>
            <w:tcW w:w="2376" w:type="dxa"/>
            <w:shd w:val="clear" w:color="auto" w:fill="auto"/>
          </w:tcPr>
          <w:p w14:paraId="08DF9CEF" w14:textId="77777777" w:rsidR="0009510B" w:rsidRPr="00AB5632" w:rsidRDefault="0009510B" w:rsidP="00626352">
            <w:pPr>
              <w:pStyle w:val="Table"/>
              <w:rPr>
                <w:rStyle w:val="Vrazn"/>
              </w:rPr>
            </w:pPr>
            <w:r w:rsidRPr="00AB5632">
              <w:rPr>
                <w:rStyle w:val="Vrazn"/>
              </w:rPr>
              <w:t>Spotová cena</w:t>
            </w:r>
          </w:p>
        </w:tc>
        <w:tc>
          <w:tcPr>
            <w:tcW w:w="851" w:type="dxa"/>
          </w:tcPr>
          <w:p w14:paraId="05943938" w14:textId="77777777" w:rsidR="0009510B" w:rsidRPr="00AB5632" w:rsidRDefault="0009510B" w:rsidP="00626352">
            <w:pPr>
              <w:pStyle w:val="Table"/>
              <w:rPr>
                <w:rStyle w:val="Vrazn"/>
              </w:rPr>
            </w:pPr>
            <w:bookmarkStart w:id="19" w:name="OLE_LINK65"/>
            <w:proofErr w:type="spellStart"/>
            <w:r w:rsidRPr="00AB5632">
              <w:rPr>
                <w:rStyle w:val="Vrazn"/>
              </w:rPr>
              <w:t>SPOT</w:t>
            </w:r>
            <w:r w:rsidRPr="00AB5632">
              <w:rPr>
                <w:rStyle w:val="Vrazn"/>
                <w:vertAlign w:val="subscript"/>
              </w:rPr>
              <w:t>h</w:t>
            </w:r>
            <w:bookmarkEnd w:id="19"/>
            <w:proofErr w:type="spellEnd"/>
          </w:p>
        </w:tc>
        <w:tc>
          <w:tcPr>
            <w:tcW w:w="4536" w:type="dxa"/>
            <w:shd w:val="clear" w:color="auto" w:fill="auto"/>
          </w:tcPr>
          <w:p w14:paraId="2263DC42" w14:textId="77777777" w:rsidR="0009510B" w:rsidRPr="00AB5632" w:rsidRDefault="0009510B" w:rsidP="0009510B">
            <w:pPr>
              <w:pStyle w:val="Zoznamsodrkami2"/>
            </w:pPr>
            <w:r w:rsidRPr="00AB5632">
              <w:t xml:space="preserve">ceny elektriny na krátkodobom trhu s elektrinou organizovanom spoločnosťou OKTE, </w:t>
            </w:r>
            <w:proofErr w:type="spellStart"/>
            <w:r w:rsidRPr="00AB5632">
              <w:t>a.s</w:t>
            </w:r>
            <w:proofErr w:type="spellEnd"/>
            <w:r w:rsidRPr="00AB5632">
              <w:t xml:space="preserve">. (IČO: 45 687 862) v konkrétnej hodine h Fakturačného obdobia zverejnená na stránke </w:t>
            </w:r>
            <w:hyperlink r:id="rId9" w:history="1">
              <w:r w:rsidRPr="00AB5632">
                <w:rPr>
                  <w:rStyle w:val="Hypertextovprepojenie"/>
                </w:rPr>
                <w:t>https://www.okte.sk/sk/kratkodoby-trh/zverejnenie-udajov-dt/podrobny-prehlad-dt/</w:t>
              </w:r>
            </w:hyperlink>
          </w:p>
        </w:tc>
        <w:tc>
          <w:tcPr>
            <w:tcW w:w="1479" w:type="dxa"/>
            <w:shd w:val="clear" w:color="auto" w:fill="auto"/>
            <w:vAlign w:val="center"/>
          </w:tcPr>
          <w:p w14:paraId="6C058B51" w14:textId="77777777" w:rsidR="0009510B" w:rsidRPr="00AB5632" w:rsidRDefault="0009510B" w:rsidP="00626352">
            <w:pPr>
              <w:pStyle w:val="Table"/>
            </w:pPr>
            <w:bookmarkStart w:id="20" w:name="OLE_LINK64"/>
            <w:r w:rsidRPr="00AB5632">
              <w:t>EUR/MWh</w:t>
            </w:r>
            <w:bookmarkEnd w:id="20"/>
          </w:p>
        </w:tc>
      </w:tr>
      <w:tr w:rsidR="0009510B" w:rsidRPr="00AB5632" w14:paraId="3CF23140" w14:textId="77777777" w:rsidTr="00626352">
        <w:trPr>
          <w:jc w:val="center"/>
        </w:trPr>
        <w:tc>
          <w:tcPr>
            <w:tcW w:w="2376" w:type="dxa"/>
            <w:shd w:val="clear" w:color="auto" w:fill="auto"/>
          </w:tcPr>
          <w:p w14:paraId="4AA2D58C" w14:textId="77777777" w:rsidR="0009510B" w:rsidRPr="00AB5632" w:rsidRDefault="0009510B" w:rsidP="00626352">
            <w:pPr>
              <w:pStyle w:val="Table"/>
              <w:rPr>
                <w:rStyle w:val="Vrazn"/>
              </w:rPr>
            </w:pPr>
            <w:r w:rsidRPr="00AB5632">
              <w:rPr>
                <w:rStyle w:val="Vrazn"/>
              </w:rPr>
              <w:t>Skutočná hodinová spotreba</w:t>
            </w:r>
          </w:p>
        </w:tc>
        <w:tc>
          <w:tcPr>
            <w:tcW w:w="851" w:type="dxa"/>
          </w:tcPr>
          <w:p w14:paraId="63E73206" w14:textId="77777777" w:rsidR="0009510B" w:rsidRPr="00AB5632" w:rsidRDefault="0009510B" w:rsidP="00626352">
            <w:pPr>
              <w:pStyle w:val="Table"/>
              <w:rPr>
                <w:rStyle w:val="Vrazn"/>
              </w:rPr>
            </w:pPr>
            <w:proofErr w:type="spellStart"/>
            <w:r w:rsidRPr="00AB5632">
              <w:rPr>
                <w:rStyle w:val="Vrazn"/>
              </w:rPr>
              <w:t>Qh</w:t>
            </w:r>
            <w:proofErr w:type="spellEnd"/>
          </w:p>
        </w:tc>
        <w:tc>
          <w:tcPr>
            <w:tcW w:w="4536" w:type="dxa"/>
            <w:shd w:val="clear" w:color="auto" w:fill="auto"/>
          </w:tcPr>
          <w:p w14:paraId="37770C09" w14:textId="77777777" w:rsidR="0009510B" w:rsidRPr="00AB5632" w:rsidRDefault="0009510B" w:rsidP="0009510B">
            <w:pPr>
              <w:pStyle w:val="Zoznamsodrkami2"/>
            </w:pPr>
            <w:r w:rsidRPr="00AB5632">
              <w:t xml:space="preserve">množstvo spotrebovanej elektriny v konkrétnej hodine h Fakturačného obdobia v konkrétnom OM </w:t>
            </w:r>
          </w:p>
          <w:p w14:paraId="6D1598C6" w14:textId="77777777" w:rsidR="0009510B" w:rsidRPr="00AB5632" w:rsidRDefault="0009510B" w:rsidP="0009510B">
            <w:pPr>
              <w:pStyle w:val="Zoznamsodrkami2"/>
            </w:pPr>
            <w:r w:rsidRPr="00AB5632">
              <w:t>údaje o spotrebe poskytuje Poskytovateľovi príslušná PDS v zmysle príslušných predpisov, ktorými sa stanovujú podrobnosti merania elektriny a odovzdávania technických údajov a podľa Prevádzkového poriadku</w:t>
            </w:r>
          </w:p>
          <w:p w14:paraId="7092C628" w14:textId="77777777" w:rsidR="0009510B" w:rsidRPr="00AB5632" w:rsidRDefault="0009510B" w:rsidP="0009510B">
            <w:pPr>
              <w:pStyle w:val="Zoznamsodrkami2"/>
            </w:pPr>
            <w:r w:rsidRPr="00AB5632">
              <w:t>pri OM</w:t>
            </w:r>
            <w:r w:rsidRPr="00AB5632">
              <w:rPr>
                <w:vertAlign w:val="subscript"/>
              </w:rPr>
              <w:t>C</w:t>
            </w:r>
            <w:r w:rsidRPr="00AB5632">
              <w:t xml:space="preserve"> odvodená pomocou Typového diagramu a údajov určeného meradla za príslušné Fakturačné obdobie</w:t>
            </w:r>
          </w:p>
        </w:tc>
        <w:tc>
          <w:tcPr>
            <w:tcW w:w="1479" w:type="dxa"/>
            <w:shd w:val="clear" w:color="auto" w:fill="auto"/>
            <w:vAlign w:val="center"/>
          </w:tcPr>
          <w:p w14:paraId="49C8F1D4" w14:textId="77777777" w:rsidR="0009510B" w:rsidRPr="00AB5632" w:rsidRDefault="0009510B" w:rsidP="00626352">
            <w:pPr>
              <w:pStyle w:val="Table"/>
            </w:pPr>
            <w:r w:rsidRPr="00AB5632">
              <w:t>MWh</w:t>
            </w:r>
          </w:p>
        </w:tc>
      </w:tr>
      <w:tr w:rsidR="0009510B" w:rsidRPr="00AB5632" w14:paraId="68603403" w14:textId="77777777" w:rsidTr="00626352">
        <w:trPr>
          <w:jc w:val="center"/>
        </w:trPr>
        <w:tc>
          <w:tcPr>
            <w:tcW w:w="2376" w:type="dxa"/>
            <w:shd w:val="clear" w:color="auto" w:fill="auto"/>
          </w:tcPr>
          <w:p w14:paraId="325838EC" w14:textId="77777777" w:rsidR="0009510B" w:rsidRPr="00AB5632" w:rsidRDefault="0009510B" w:rsidP="00626352">
            <w:pPr>
              <w:pStyle w:val="Table"/>
              <w:rPr>
                <w:rStyle w:val="Vrazn"/>
              </w:rPr>
            </w:pPr>
            <w:r w:rsidRPr="00AB5632">
              <w:rPr>
                <w:rStyle w:val="Vrazn"/>
              </w:rPr>
              <w:t>Spotreba</w:t>
            </w:r>
          </w:p>
        </w:tc>
        <w:tc>
          <w:tcPr>
            <w:tcW w:w="851" w:type="dxa"/>
          </w:tcPr>
          <w:p w14:paraId="7D8C72F3" w14:textId="77777777" w:rsidR="0009510B" w:rsidRPr="00AB5632" w:rsidRDefault="0009510B" w:rsidP="00626352">
            <w:pPr>
              <w:pStyle w:val="Table"/>
              <w:rPr>
                <w:rStyle w:val="Vrazn"/>
              </w:rPr>
            </w:pPr>
            <w:r w:rsidRPr="00AB5632">
              <w:rPr>
                <w:rStyle w:val="Vrazn"/>
              </w:rPr>
              <w:t>Q</w:t>
            </w:r>
          </w:p>
        </w:tc>
        <w:tc>
          <w:tcPr>
            <w:tcW w:w="4536" w:type="dxa"/>
            <w:shd w:val="clear" w:color="auto" w:fill="auto"/>
          </w:tcPr>
          <w:p w14:paraId="1022BD7B" w14:textId="77777777" w:rsidR="0009510B" w:rsidRPr="00AB5632" w:rsidRDefault="0009510B" w:rsidP="0009510B">
            <w:pPr>
              <w:pStyle w:val="Zoznamsodrkami2"/>
            </w:pPr>
            <w:r w:rsidRPr="00AB5632">
              <w:t>Spotreba elektriny za príslušné Fakturačné obdobie</w:t>
            </w:r>
          </w:p>
        </w:tc>
        <w:tc>
          <w:tcPr>
            <w:tcW w:w="1479" w:type="dxa"/>
            <w:shd w:val="clear" w:color="auto" w:fill="auto"/>
            <w:vAlign w:val="center"/>
          </w:tcPr>
          <w:p w14:paraId="1FCBCC10" w14:textId="77777777" w:rsidR="0009510B" w:rsidRPr="00AB5632" w:rsidRDefault="0009510B" w:rsidP="00626352">
            <w:pPr>
              <w:pStyle w:val="Table"/>
            </w:pPr>
            <w:r w:rsidRPr="00AB5632">
              <w:t>MWh</w:t>
            </w:r>
          </w:p>
        </w:tc>
      </w:tr>
    </w:tbl>
    <w:p w14:paraId="4DB84BC1" w14:textId="77777777" w:rsidR="0009510B" w:rsidRPr="00AB5632" w:rsidRDefault="0009510B" w:rsidP="0009510B">
      <w:pPr>
        <w:pStyle w:val="Zoznamsodrkami"/>
      </w:pPr>
      <w:bookmarkStart w:id="21" w:name="_Ref115343873"/>
      <w:r w:rsidRPr="00AB5632">
        <w:t>Vzorce</w:t>
      </w:r>
      <w:bookmarkEnd w:id="21"/>
      <w:r w:rsidRPr="00AB5632">
        <w:t xml:space="preserve"> </w:t>
      </w:r>
    </w:p>
    <w:tbl>
      <w:tblPr>
        <w:tblStyle w:val="Mriekatabuky"/>
        <w:tblW w:w="9180" w:type="dxa"/>
        <w:jc w:val="center"/>
        <w:tblLook w:val="0600" w:firstRow="0" w:lastRow="0" w:firstColumn="0" w:lastColumn="0" w:noHBand="1" w:noVBand="1"/>
      </w:tblPr>
      <w:tblGrid>
        <w:gridCol w:w="2351"/>
        <w:gridCol w:w="868"/>
        <w:gridCol w:w="4552"/>
        <w:gridCol w:w="1409"/>
      </w:tblGrid>
      <w:tr w:rsidR="0009510B" w:rsidRPr="00AB5632" w14:paraId="039599DA" w14:textId="77777777" w:rsidTr="00626352">
        <w:trPr>
          <w:tblHeader/>
          <w:jc w:val="center"/>
        </w:trPr>
        <w:tc>
          <w:tcPr>
            <w:tcW w:w="2376" w:type="dxa"/>
            <w:shd w:val="clear" w:color="auto" w:fill="F2F2F2" w:themeFill="background1" w:themeFillShade="F2"/>
            <w:vAlign w:val="center"/>
          </w:tcPr>
          <w:p w14:paraId="323EFDD6" w14:textId="77777777" w:rsidR="0009510B" w:rsidRPr="00AB5632" w:rsidRDefault="0009510B" w:rsidP="00626352">
            <w:pPr>
              <w:pStyle w:val="Zhlavie10"/>
            </w:pPr>
            <w:r w:rsidRPr="00AB5632">
              <w:t>Pojem</w:t>
            </w:r>
          </w:p>
        </w:tc>
        <w:tc>
          <w:tcPr>
            <w:tcW w:w="783" w:type="dxa"/>
            <w:shd w:val="clear" w:color="auto" w:fill="F2F2F2" w:themeFill="background1" w:themeFillShade="F2"/>
            <w:vAlign w:val="center"/>
          </w:tcPr>
          <w:p w14:paraId="359CC299" w14:textId="77777777" w:rsidR="0009510B" w:rsidRPr="00AB5632" w:rsidRDefault="0009510B" w:rsidP="00626352">
            <w:pPr>
              <w:pStyle w:val="Zhlavie10"/>
            </w:pPr>
            <w:r w:rsidRPr="00AB5632">
              <w:t>Skratka</w:t>
            </w:r>
          </w:p>
        </w:tc>
        <w:tc>
          <w:tcPr>
            <w:tcW w:w="4604" w:type="dxa"/>
            <w:shd w:val="clear" w:color="auto" w:fill="F2F2F2" w:themeFill="background1" w:themeFillShade="F2"/>
            <w:vAlign w:val="center"/>
          </w:tcPr>
          <w:p w14:paraId="59E248D6" w14:textId="77777777" w:rsidR="0009510B" w:rsidRPr="00AB5632" w:rsidRDefault="0009510B" w:rsidP="00626352">
            <w:pPr>
              <w:pStyle w:val="Zhlavie10"/>
            </w:pPr>
            <w:r w:rsidRPr="00AB5632">
              <w:t>Vysvetlenie</w:t>
            </w:r>
          </w:p>
        </w:tc>
        <w:tc>
          <w:tcPr>
            <w:tcW w:w="1417" w:type="dxa"/>
            <w:shd w:val="clear" w:color="auto" w:fill="F2F2F2" w:themeFill="background1" w:themeFillShade="F2"/>
            <w:vAlign w:val="center"/>
          </w:tcPr>
          <w:p w14:paraId="5911311A" w14:textId="77777777" w:rsidR="0009510B" w:rsidRPr="00AB5632" w:rsidRDefault="0009510B" w:rsidP="00626352">
            <w:pPr>
              <w:pStyle w:val="Zhlavie10"/>
            </w:pPr>
            <w:r w:rsidRPr="00AB5632">
              <w:t>Merná jednotka</w:t>
            </w:r>
          </w:p>
        </w:tc>
      </w:tr>
      <w:tr w:rsidR="0009510B" w:rsidRPr="00AB5632" w14:paraId="1B01E769" w14:textId="77777777" w:rsidTr="00626352">
        <w:trPr>
          <w:tblHeader/>
          <w:jc w:val="center"/>
        </w:trPr>
        <w:tc>
          <w:tcPr>
            <w:tcW w:w="2376" w:type="dxa"/>
            <w:shd w:val="clear" w:color="auto" w:fill="auto"/>
            <w:vAlign w:val="center"/>
          </w:tcPr>
          <w:p w14:paraId="1D3BE6C9" w14:textId="77777777" w:rsidR="0009510B" w:rsidRPr="00AB5632" w:rsidRDefault="0009510B" w:rsidP="00626352">
            <w:pPr>
              <w:pStyle w:val="Table"/>
            </w:pPr>
            <w:r w:rsidRPr="00AB5632">
              <w:t>Cena za dodávku elektriny</w:t>
            </w:r>
          </w:p>
        </w:tc>
        <w:tc>
          <w:tcPr>
            <w:tcW w:w="783" w:type="dxa"/>
            <w:shd w:val="clear" w:color="auto" w:fill="auto"/>
            <w:vAlign w:val="center"/>
          </w:tcPr>
          <w:p w14:paraId="1E117567" w14:textId="77777777" w:rsidR="0009510B" w:rsidRPr="00AB5632" w:rsidRDefault="0009510B" w:rsidP="00626352">
            <w:pPr>
              <w:pStyle w:val="Table"/>
              <w:rPr>
                <w:rStyle w:val="Vrazn"/>
              </w:rPr>
            </w:pPr>
            <w:r w:rsidRPr="00AB5632">
              <w:rPr>
                <w:rStyle w:val="Vrazn"/>
              </w:rPr>
              <w:t>C</w:t>
            </w:r>
          </w:p>
        </w:tc>
        <w:tc>
          <w:tcPr>
            <w:tcW w:w="4604" w:type="dxa"/>
            <w:shd w:val="clear" w:color="auto" w:fill="auto"/>
          </w:tcPr>
          <w:p w14:paraId="1ED1B5BB" w14:textId="77777777" w:rsidR="0009510B" w:rsidRPr="00AB5632" w:rsidRDefault="0009510B" w:rsidP="0009510B">
            <w:pPr>
              <w:pStyle w:val="Zoznamsodrkami2"/>
            </w:pPr>
            <w:r w:rsidRPr="00AB5632">
              <w:t>týka sa konkrétneho OM v príslušnom Fakturačnom období</w:t>
            </w:r>
          </w:p>
          <w:p w14:paraId="6E357B15" w14:textId="77777777" w:rsidR="0009510B" w:rsidRPr="00AB5632" w:rsidRDefault="0009510B" w:rsidP="00626352">
            <m:oMathPara>
              <m:oMath>
                <m:r>
                  <m:rPr>
                    <m:sty m:val="p"/>
                  </m:rPr>
                  <w:rPr>
                    <w:rFonts w:ascii="Cambria Math" w:hAnsi="Cambria Math"/>
                  </w:rPr>
                  <m:t>C=</m:t>
                </m:r>
                <m:nary>
                  <m:naryPr>
                    <m:chr m:val="∑"/>
                    <m:limLoc m:val="undOvr"/>
                    <m:ctrlPr>
                      <w:rPr>
                        <w:rFonts w:ascii="Cambria Math" w:hAnsi="Cambria Math"/>
                        <w:lang w:eastAsia="cs-CZ"/>
                      </w:rPr>
                    </m:ctrlPr>
                  </m:naryPr>
                  <m:sub>
                    <m:r>
                      <m:rPr>
                        <m:sty m:val="p"/>
                      </m:rPr>
                      <w:rPr>
                        <w:rFonts w:ascii="Cambria Math" w:hAnsi="Cambria Math"/>
                      </w:rPr>
                      <m:t>h=1</m:t>
                    </m:r>
                  </m:sub>
                  <m:sup>
                    <m:r>
                      <m:rPr>
                        <m:sty m:val="p"/>
                      </m:rPr>
                      <w:rPr>
                        <w:rFonts w:ascii="Cambria Math" w:hAnsi="Cambria Math"/>
                        <w:lang w:eastAsia="cs-CZ"/>
                      </w:rPr>
                      <m:t>H</m:t>
                    </m:r>
                  </m:sup>
                  <m:e>
                    <m:d>
                      <m:dPr>
                        <m:ctrlPr>
                          <w:rPr>
                            <w:rFonts w:ascii="Cambria Math" w:hAnsi="Cambria Math"/>
                            <w:lang w:eastAsia="cs-CZ"/>
                          </w:rPr>
                        </m:ctrlPr>
                      </m:dPr>
                      <m:e>
                        <m:r>
                          <m:rPr>
                            <m:sty m:val="p"/>
                          </m:rPr>
                          <w:rPr>
                            <w:rFonts w:ascii="Cambria Math" w:hAnsi="Cambria Math"/>
                          </w:rPr>
                          <m:t>(</m:t>
                        </m:r>
                        <m:sSub>
                          <m:sSubPr>
                            <m:ctrlPr>
                              <w:rPr>
                                <w:rFonts w:ascii="Cambria Math" w:hAnsi="Cambria Math"/>
                                <w:lang w:eastAsia="cs-CZ"/>
                              </w:rPr>
                            </m:ctrlPr>
                          </m:sSubPr>
                          <m:e>
                            <m:r>
                              <m:rPr>
                                <m:sty m:val="p"/>
                              </m:rPr>
                              <w:rPr>
                                <w:rFonts w:ascii="Cambria Math" w:hAnsi="Cambria Math"/>
                              </w:rPr>
                              <m:t>SPOT</m:t>
                            </m:r>
                          </m:e>
                          <m:sub>
                            <m:r>
                              <m:rPr>
                                <m:sty m:val="p"/>
                              </m:rPr>
                              <w:rPr>
                                <w:rFonts w:ascii="Cambria Math" w:hAnsi="Cambria Math"/>
                              </w:rPr>
                              <m:t>h</m:t>
                            </m:r>
                          </m:sub>
                        </m:sSub>
                        <m:r>
                          <m:rPr>
                            <m:sty m:val="p"/>
                          </m:rPr>
                          <w:rPr>
                            <w:rFonts w:ascii="Cambria Math" w:hAnsi="Cambria Math"/>
                          </w:rPr>
                          <m:t>+A)×</m:t>
                        </m:r>
                        <m:sSub>
                          <m:sSubPr>
                            <m:ctrlPr>
                              <w:rPr>
                                <w:rFonts w:ascii="Cambria Math" w:hAnsi="Cambria Math"/>
                                <w:lang w:eastAsia="cs-CZ"/>
                              </w:rPr>
                            </m:ctrlPr>
                          </m:sSubPr>
                          <m:e>
                            <m:r>
                              <m:rPr>
                                <m:sty m:val="p"/>
                              </m:rPr>
                              <w:rPr>
                                <w:rFonts w:ascii="Cambria Math" w:hAnsi="Cambria Math"/>
                              </w:rPr>
                              <m:t>Q</m:t>
                            </m:r>
                          </m:e>
                          <m:sub>
                            <m:r>
                              <m:rPr>
                                <m:sty m:val="p"/>
                              </m:rPr>
                              <w:rPr>
                                <w:rFonts w:ascii="Cambria Math" w:hAnsi="Cambria Math"/>
                              </w:rPr>
                              <m:t>h</m:t>
                            </m:r>
                          </m:sub>
                        </m:sSub>
                      </m:e>
                    </m:d>
                  </m:e>
                </m:nary>
              </m:oMath>
            </m:oMathPara>
          </w:p>
        </w:tc>
        <w:tc>
          <w:tcPr>
            <w:tcW w:w="1417" w:type="dxa"/>
            <w:shd w:val="clear" w:color="auto" w:fill="auto"/>
            <w:vAlign w:val="center"/>
          </w:tcPr>
          <w:p w14:paraId="14BFBEA8" w14:textId="77777777" w:rsidR="0009510B" w:rsidRPr="00AB5632" w:rsidRDefault="0009510B" w:rsidP="00626352">
            <w:pPr>
              <w:pStyle w:val="Table"/>
            </w:pPr>
            <w:r w:rsidRPr="00AB5632">
              <w:t>EUR</w:t>
            </w:r>
          </w:p>
        </w:tc>
      </w:tr>
      <w:tr w:rsidR="0009510B" w:rsidRPr="00AB5632" w14:paraId="78CF2CCB" w14:textId="77777777" w:rsidTr="00626352">
        <w:trPr>
          <w:tblHeader/>
          <w:jc w:val="center"/>
        </w:trPr>
        <w:tc>
          <w:tcPr>
            <w:tcW w:w="2376" w:type="dxa"/>
            <w:shd w:val="clear" w:color="auto" w:fill="auto"/>
            <w:vAlign w:val="center"/>
          </w:tcPr>
          <w:p w14:paraId="33175959" w14:textId="77777777" w:rsidR="0009510B" w:rsidRPr="00AB5632" w:rsidRDefault="0009510B" w:rsidP="00626352">
            <w:pPr>
              <w:pStyle w:val="Table"/>
            </w:pPr>
            <w:r w:rsidRPr="00AB5632">
              <w:t>Jednotková cena za dodávku elektriny</w:t>
            </w:r>
          </w:p>
        </w:tc>
        <w:tc>
          <w:tcPr>
            <w:tcW w:w="783" w:type="dxa"/>
            <w:shd w:val="clear" w:color="auto" w:fill="auto"/>
            <w:vAlign w:val="center"/>
          </w:tcPr>
          <w:p w14:paraId="21CB79A2" w14:textId="77777777" w:rsidR="0009510B" w:rsidRPr="00AB5632" w:rsidRDefault="0009510B" w:rsidP="00626352">
            <w:pPr>
              <w:pStyle w:val="Table"/>
              <w:rPr>
                <w:rStyle w:val="Vrazn"/>
              </w:rPr>
            </w:pPr>
            <w:r w:rsidRPr="00AB5632">
              <w:rPr>
                <w:rStyle w:val="Vrazn"/>
              </w:rPr>
              <w:t>C‘</w:t>
            </w:r>
          </w:p>
        </w:tc>
        <w:tc>
          <w:tcPr>
            <w:tcW w:w="4604" w:type="dxa"/>
            <w:shd w:val="clear" w:color="auto" w:fill="auto"/>
          </w:tcPr>
          <w:p w14:paraId="16060E93" w14:textId="77777777" w:rsidR="0009510B" w:rsidRPr="00AB5632" w:rsidRDefault="0009510B" w:rsidP="0009510B">
            <w:pPr>
              <w:pStyle w:val="Zoznamsodrkami2"/>
            </w:pPr>
            <w:r w:rsidRPr="00AB5632">
              <w:t>týka sa konkrétneho OM v príslušnom Fakturačnom období</w:t>
            </w:r>
          </w:p>
          <w:p w14:paraId="0169E543" w14:textId="77777777" w:rsidR="0009510B" w:rsidRPr="00AB5632" w:rsidRDefault="0009510B" w:rsidP="00626352">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568CF63C" w14:textId="77777777" w:rsidR="0009510B" w:rsidRPr="00AB5632" w:rsidRDefault="0009510B" w:rsidP="00626352">
            <w:pPr>
              <w:pStyle w:val="Table"/>
            </w:pPr>
            <w:r w:rsidRPr="00AB5632">
              <w:t>EUR/MWh</w:t>
            </w:r>
          </w:p>
        </w:tc>
      </w:tr>
    </w:tbl>
    <w:p w14:paraId="3EF65A9D" w14:textId="77777777" w:rsidR="0009510B" w:rsidRPr="00AB5632" w:rsidRDefault="0009510B" w:rsidP="0009510B">
      <w:pPr>
        <w:pStyle w:val="Zoznam4"/>
      </w:pPr>
      <w:r w:rsidRPr="00AB5632">
        <w:t>Cena za dodávku elektriny.</w:t>
      </w:r>
    </w:p>
    <w:bookmarkEnd w:id="16"/>
    <w:p w14:paraId="0BFEFE0C" w14:textId="77777777" w:rsidR="0009510B" w:rsidRPr="00AB5632" w:rsidRDefault="0009510B" w:rsidP="0009510B">
      <w:pPr>
        <w:pStyle w:val="Zoznam5"/>
      </w:pPr>
      <w:r w:rsidRPr="00AB5632">
        <w:t>Cena za dodávku elektriny do OM</w:t>
      </w:r>
      <w:r w:rsidRPr="00AB5632">
        <w:rPr>
          <w:vertAlign w:val="subscript"/>
        </w:rPr>
        <w:t>A</w:t>
      </w:r>
      <w:r w:rsidRPr="00AB5632">
        <w:t xml:space="preserve"> a OM</w:t>
      </w:r>
      <w:r w:rsidRPr="00AB5632">
        <w:rPr>
          <w:vertAlign w:val="subscript"/>
        </w:rPr>
        <w:t>C.</w:t>
      </w:r>
    </w:p>
    <w:p w14:paraId="5064D100" w14:textId="77777777" w:rsidR="0009510B" w:rsidRPr="00AB5632" w:rsidRDefault="0009510B" w:rsidP="0009510B">
      <w:pPr>
        <w:pStyle w:val="Zoznamsodrkami"/>
      </w:pPr>
      <w:r w:rsidRPr="00AB5632">
        <w:t>Cena za dodávku elektriny do OM</w:t>
      </w:r>
      <w:r w:rsidRPr="00AB5632">
        <w:rPr>
          <w:vertAlign w:val="subscript"/>
        </w:rPr>
        <w:t>A</w:t>
      </w:r>
      <w:r w:rsidRPr="00AB5632">
        <w:t xml:space="preserve"> a OM</w:t>
      </w:r>
      <w:r w:rsidRPr="00AB5632">
        <w:rPr>
          <w:vertAlign w:val="subscript"/>
        </w:rPr>
        <w:t>C</w:t>
      </w:r>
      <w:r w:rsidRPr="00AB5632">
        <w:t xml:space="preserve"> sa v príslušnom Fakturačnom období vypočíta podľa vzorca pre C uvedeného v bode </w:t>
      </w:r>
      <w:bookmarkStart w:id="22" w:name="OLE_LINK31"/>
      <w:r w:rsidRPr="00AB5632">
        <w:fldChar w:fldCharType="begin"/>
      </w:r>
      <w:r w:rsidRPr="00AB5632">
        <w:instrText xml:space="preserve"> REF _Ref115343873 \r \h </w:instrText>
      </w:r>
      <w:r>
        <w:instrText xml:space="preserve"> \* MERGEFORMAT </w:instrText>
      </w:r>
      <w:r w:rsidRPr="00AB5632">
        <w:fldChar w:fldCharType="separate"/>
      </w:r>
      <w:r w:rsidRPr="00AB5632">
        <w:t>1.1.4</w:t>
      </w:r>
      <w:r w:rsidRPr="00AB5632">
        <w:fldChar w:fldCharType="end"/>
      </w:r>
      <w:r w:rsidRPr="00AB5632">
        <w:t xml:space="preserve"> . (ďalej len „</w:t>
      </w:r>
      <w:bookmarkStart w:id="23" w:name="OLE_LINK30"/>
      <w:bookmarkStart w:id="24" w:name="OLE_LINK32"/>
      <w:r w:rsidRPr="00AB5632">
        <w:rPr>
          <w:b/>
          <w:bCs/>
        </w:rPr>
        <w:t>Cena za dodávku elektriny</w:t>
      </w:r>
      <w:bookmarkEnd w:id="23"/>
      <w:bookmarkEnd w:id="24"/>
      <w:r w:rsidRPr="00AB5632">
        <w:rPr>
          <w:b/>
          <w:bCs/>
        </w:rPr>
        <w:t xml:space="preserve"> 1</w:t>
      </w:r>
      <w:r w:rsidRPr="00AB5632">
        <w:t>“).</w:t>
      </w:r>
      <w:bookmarkEnd w:id="22"/>
    </w:p>
    <w:p w14:paraId="46B2C125" w14:textId="77777777" w:rsidR="0009510B" w:rsidRPr="00AB5632" w:rsidRDefault="0009510B" w:rsidP="0009510B">
      <w:pPr>
        <w:pStyle w:val="Zoznamsodrkami"/>
      </w:pPr>
      <w:r w:rsidRPr="00AB5632">
        <w:t xml:space="preserve">Jednotková za dodávku elektriny je stanovená podľa vzorca pre C‘ uvedeného v bode </w:t>
      </w:r>
      <w:r w:rsidRPr="00AB5632">
        <w:fldChar w:fldCharType="begin"/>
      </w:r>
      <w:r w:rsidRPr="00AB5632">
        <w:instrText xml:space="preserve"> REF _Ref115343873 \r \h </w:instrText>
      </w:r>
      <w:r>
        <w:instrText xml:space="preserve"> \* MERGEFORMAT </w:instrText>
      </w:r>
      <w:r w:rsidRPr="00AB5632">
        <w:fldChar w:fldCharType="separate"/>
      </w:r>
      <w:r w:rsidRPr="00AB5632">
        <w:t>1.1.4</w:t>
      </w:r>
      <w:r w:rsidRPr="00AB5632">
        <w:fldChar w:fldCharType="end"/>
      </w:r>
      <w:r w:rsidRPr="00AB5632">
        <w:t xml:space="preserve">. </w:t>
      </w:r>
    </w:p>
    <w:p w14:paraId="52A8819B" w14:textId="77777777" w:rsidR="0009510B" w:rsidRPr="00AB5632" w:rsidRDefault="0009510B" w:rsidP="0009510B">
      <w:pPr>
        <w:pStyle w:val="Vysvetlenie"/>
        <w:rPr>
          <w:b/>
          <w:bCs/>
        </w:rPr>
      </w:pPr>
      <w:r w:rsidRPr="00AB5632">
        <w:rPr>
          <w:b/>
          <w:bCs/>
        </w:rPr>
        <w:t>Informácia pre uchádza</w:t>
      </w:r>
      <w:r w:rsidRPr="00AB5632">
        <w:rPr>
          <w:rFonts w:ascii="Arial" w:hAnsi="Arial" w:cs="Arial"/>
          <w:b/>
          <w:bCs/>
        </w:rPr>
        <w:t>č</w:t>
      </w:r>
      <w:r w:rsidRPr="00AB5632">
        <w:rPr>
          <w:b/>
          <w:bCs/>
        </w:rPr>
        <w:t xml:space="preserve">ov. </w:t>
      </w:r>
    </w:p>
    <w:p w14:paraId="2580F6FE" w14:textId="77777777" w:rsidR="0009510B" w:rsidRPr="00AB5632" w:rsidRDefault="0009510B" w:rsidP="0009510B">
      <w:pPr>
        <w:pStyle w:val="Vysvetlenie"/>
        <w:rPr>
          <w:u w:val="single"/>
        </w:rPr>
      </w:pPr>
      <w:r w:rsidRPr="00AB5632">
        <w:rPr>
          <w:u w:val="single"/>
        </w:rPr>
        <w:t xml:space="preserve">Nasledujúca </w:t>
      </w:r>
      <w:r w:rsidRPr="00AB5632">
        <w:rPr>
          <w:rFonts w:ascii="Arial" w:hAnsi="Arial" w:cs="Arial"/>
          <w:u w:val="single"/>
        </w:rPr>
        <w:t>č</w:t>
      </w:r>
      <w:r w:rsidRPr="00AB5632">
        <w:rPr>
          <w:u w:val="single"/>
        </w:rPr>
        <w:t>as</w:t>
      </w:r>
      <w:r w:rsidRPr="00AB5632">
        <w:rPr>
          <w:rFonts w:ascii="Arial" w:hAnsi="Arial" w:cs="Arial"/>
          <w:u w:val="single"/>
        </w:rPr>
        <w:t>ť</w:t>
      </w:r>
      <w:r w:rsidRPr="00AB5632">
        <w:rPr>
          <w:u w:val="single"/>
        </w:rPr>
        <w:t xml:space="preserve"> je informa</w:t>
      </w:r>
      <w:r w:rsidRPr="00AB5632">
        <w:rPr>
          <w:rFonts w:ascii="Arial" w:hAnsi="Arial" w:cs="Arial"/>
          <w:u w:val="single"/>
        </w:rPr>
        <w:t>č</w:t>
      </w:r>
      <w:r w:rsidRPr="00AB5632">
        <w:rPr>
          <w:u w:val="single"/>
        </w:rPr>
        <w:t>ná a obsahuje inštrukciu k mo</w:t>
      </w:r>
      <w:r w:rsidRPr="00AB5632">
        <w:rPr>
          <w:rFonts w:ascii="Arial" w:hAnsi="Arial" w:cs="Arial"/>
          <w:u w:val="single"/>
        </w:rPr>
        <w:t>ž</w:t>
      </w:r>
      <w:r w:rsidRPr="00AB5632">
        <w:rPr>
          <w:u w:val="single"/>
        </w:rPr>
        <w:t xml:space="preserve">nej úprave návrhu Zmluvy týkajúcej sa ceny pre Odberné miesta bez </w:t>
      </w:r>
      <w:proofErr w:type="spellStart"/>
      <w:r w:rsidRPr="00AB5632">
        <w:rPr>
          <w:u w:val="single"/>
        </w:rPr>
        <w:t>priebehového</w:t>
      </w:r>
      <w:proofErr w:type="spellEnd"/>
      <w:r w:rsidRPr="00AB5632">
        <w:rPr>
          <w:u w:val="single"/>
        </w:rPr>
        <w:t xml:space="preserve"> merania (OM</w:t>
      </w:r>
      <w:r w:rsidRPr="00AB5632">
        <w:rPr>
          <w:u w:val="single"/>
          <w:vertAlign w:val="subscript"/>
        </w:rPr>
        <w:t>C</w:t>
      </w:r>
      <w:r w:rsidRPr="00AB5632">
        <w:rPr>
          <w:u w:val="single"/>
        </w:rPr>
        <w:t xml:space="preserve">) a </w:t>
      </w:r>
      <w:r w:rsidRPr="00AB5632">
        <w:rPr>
          <w:rFonts w:ascii="Arial" w:hAnsi="Arial" w:cs="Arial"/>
          <w:u w:val="single"/>
        </w:rPr>
        <w:t>ž</w:t>
      </w:r>
      <w:r w:rsidRPr="00AB5632">
        <w:rPr>
          <w:u w:val="single"/>
        </w:rPr>
        <w:t>iadame uchádza</w:t>
      </w:r>
      <w:r w:rsidRPr="00AB5632">
        <w:rPr>
          <w:rFonts w:ascii="Arial" w:hAnsi="Arial" w:cs="Arial"/>
          <w:u w:val="single"/>
        </w:rPr>
        <w:t>č</w:t>
      </w:r>
      <w:r w:rsidRPr="00AB5632">
        <w:rPr>
          <w:u w:val="single"/>
        </w:rPr>
        <w:t>ov, aby túto informa</w:t>
      </w:r>
      <w:r w:rsidRPr="00AB5632">
        <w:rPr>
          <w:rFonts w:ascii="Arial" w:hAnsi="Arial" w:cs="Arial"/>
          <w:u w:val="single"/>
        </w:rPr>
        <w:t>č</w:t>
      </w:r>
      <w:r w:rsidRPr="00AB5632">
        <w:rPr>
          <w:u w:val="single"/>
        </w:rPr>
        <w:t xml:space="preserve">nú </w:t>
      </w:r>
      <w:r w:rsidRPr="00AB5632">
        <w:rPr>
          <w:rFonts w:ascii="Arial" w:hAnsi="Arial" w:cs="Arial"/>
          <w:u w:val="single"/>
        </w:rPr>
        <w:t>č</w:t>
      </w:r>
      <w:r w:rsidRPr="00AB5632">
        <w:rPr>
          <w:u w:val="single"/>
        </w:rPr>
        <w:t>as</w:t>
      </w:r>
      <w:r w:rsidRPr="00AB5632">
        <w:rPr>
          <w:rFonts w:ascii="Arial" w:hAnsi="Arial" w:cs="Arial"/>
          <w:u w:val="single"/>
        </w:rPr>
        <w:t>ť</w:t>
      </w:r>
      <w:r w:rsidRPr="00AB5632">
        <w:rPr>
          <w:u w:val="single"/>
        </w:rPr>
        <w:t xml:space="preserve"> z návrhu Zmluvy vypustili. </w:t>
      </w:r>
    </w:p>
    <w:p w14:paraId="5F904663" w14:textId="77777777" w:rsidR="0009510B" w:rsidRPr="00AB5632" w:rsidRDefault="0009510B" w:rsidP="0009510B">
      <w:pPr>
        <w:pStyle w:val="Vysvetlenie"/>
      </w:pPr>
      <w:r w:rsidRPr="00AB5632">
        <w:t>Stru</w:t>
      </w:r>
      <w:r w:rsidRPr="00AB5632">
        <w:rPr>
          <w:rFonts w:ascii="Arial" w:hAnsi="Arial" w:cs="Arial"/>
        </w:rPr>
        <w:t>č</w:t>
      </w:r>
      <w:r w:rsidRPr="00AB5632">
        <w:t>né zhrnutie princípov, na základe ktorých je stanovená Cena za dodávku elektriny 1:</w:t>
      </w:r>
    </w:p>
    <w:p w14:paraId="3CE9352F" w14:textId="77777777" w:rsidR="0009510B" w:rsidRPr="00AB5632" w:rsidRDefault="0009510B" w:rsidP="0009510B">
      <w:pPr>
        <w:pStyle w:val="Vysvetlenie"/>
      </w:pPr>
      <w:r w:rsidRPr="00AB5632">
        <w:t>Cena za dodávku elektriny sa stanovuje pre ka</w:t>
      </w:r>
      <w:r w:rsidRPr="00AB5632">
        <w:rPr>
          <w:rFonts w:ascii="Arial" w:hAnsi="Arial" w:cs="Arial"/>
        </w:rPr>
        <w:t>ž</w:t>
      </w:r>
      <w:r w:rsidRPr="00AB5632">
        <w:t>dé odberné miesto a príslušné Faktura</w:t>
      </w:r>
      <w:r w:rsidRPr="00AB5632">
        <w:rPr>
          <w:rFonts w:ascii="Arial" w:hAnsi="Arial" w:cs="Arial"/>
        </w:rPr>
        <w:t>č</w:t>
      </w:r>
      <w:r w:rsidRPr="00AB5632">
        <w:t xml:space="preserve">né obdobie. </w:t>
      </w:r>
    </w:p>
    <w:p w14:paraId="59AA1128" w14:textId="77777777" w:rsidR="0009510B" w:rsidRPr="00AB5632" w:rsidRDefault="0009510B" w:rsidP="0009510B">
      <w:pPr>
        <w:pStyle w:val="Vysvetlenie"/>
      </w:pPr>
      <w:r w:rsidRPr="00AB5632">
        <w:t>Faktura</w:t>
      </w:r>
      <w:r w:rsidRPr="00AB5632">
        <w:rPr>
          <w:rFonts w:ascii="Arial" w:hAnsi="Arial" w:cs="Arial"/>
        </w:rPr>
        <w:t>č</w:t>
      </w:r>
      <w:r w:rsidRPr="00AB5632">
        <w:t>né obdobie sa líši pod</w:t>
      </w:r>
      <w:r w:rsidRPr="00AB5632">
        <w:rPr>
          <w:rFonts w:ascii="Arial" w:hAnsi="Arial" w:cs="Arial"/>
        </w:rPr>
        <w:t>ľ</w:t>
      </w:r>
      <w:r w:rsidRPr="00AB5632">
        <w:t>a typu merania spotreby elektriny v odberných miestach, pri</w:t>
      </w:r>
      <w:r w:rsidRPr="00AB5632">
        <w:rPr>
          <w:rFonts w:ascii="Arial" w:hAnsi="Arial" w:cs="Arial"/>
        </w:rPr>
        <w:t>č</w:t>
      </w:r>
      <w:r w:rsidRPr="00AB5632">
        <w:t>om rozlišujeme Odberné miesta s </w:t>
      </w:r>
      <w:proofErr w:type="spellStart"/>
      <w:r w:rsidRPr="00AB5632">
        <w:t>priebehovým</w:t>
      </w:r>
      <w:proofErr w:type="spellEnd"/>
      <w:r w:rsidRPr="00AB5632">
        <w:t xml:space="preserve"> meraním, kde sa vykonáva odpo</w:t>
      </w:r>
      <w:r w:rsidRPr="00AB5632">
        <w:rPr>
          <w:rFonts w:ascii="Arial" w:hAnsi="Arial" w:cs="Arial"/>
        </w:rPr>
        <w:t>č</w:t>
      </w:r>
      <w:r w:rsidRPr="00AB5632">
        <w:t>et spotreby elektriny mesa</w:t>
      </w:r>
      <w:r w:rsidRPr="00AB5632">
        <w:rPr>
          <w:rFonts w:ascii="Arial" w:hAnsi="Arial" w:cs="Arial"/>
        </w:rPr>
        <w:t>č</w:t>
      </w:r>
      <w:r w:rsidRPr="00AB5632">
        <w:t xml:space="preserve">ne a Odberné miesta bez </w:t>
      </w:r>
      <w:proofErr w:type="spellStart"/>
      <w:r w:rsidRPr="00AB5632">
        <w:t>priebehového</w:t>
      </w:r>
      <w:proofErr w:type="spellEnd"/>
      <w:r w:rsidRPr="00AB5632">
        <w:t xml:space="preserve"> merania s ro</w:t>
      </w:r>
      <w:r w:rsidRPr="00AB5632">
        <w:rPr>
          <w:rFonts w:ascii="Arial" w:hAnsi="Arial" w:cs="Arial"/>
        </w:rPr>
        <w:t>č</w:t>
      </w:r>
      <w:r w:rsidRPr="00AB5632">
        <w:t>ným odpo</w:t>
      </w:r>
      <w:r w:rsidRPr="00AB5632">
        <w:rPr>
          <w:rFonts w:ascii="Arial" w:hAnsi="Arial" w:cs="Arial"/>
        </w:rPr>
        <w:t>č</w:t>
      </w:r>
      <w:r w:rsidRPr="00AB5632">
        <w:t>tom. Vo výnimo</w:t>
      </w:r>
      <w:r w:rsidRPr="00AB5632">
        <w:rPr>
          <w:rFonts w:ascii="Arial" w:hAnsi="Arial" w:cs="Arial"/>
        </w:rPr>
        <w:t>č</w:t>
      </w:r>
      <w:r w:rsidRPr="00AB5632">
        <w:t>ných prípadoch (napr. pri zmene regulovaných zlo</w:t>
      </w:r>
      <w:r w:rsidRPr="00AB5632">
        <w:rPr>
          <w:rFonts w:ascii="Arial" w:hAnsi="Arial" w:cs="Arial"/>
        </w:rPr>
        <w:t>ž</w:t>
      </w:r>
      <w:r w:rsidRPr="00AB5632">
        <w:t>iek ceny, ktorých ú</w:t>
      </w:r>
      <w:r w:rsidRPr="00AB5632">
        <w:rPr>
          <w:rFonts w:ascii="Arial" w:hAnsi="Arial" w:cs="Arial"/>
        </w:rPr>
        <w:t>č</w:t>
      </w:r>
      <w:r w:rsidRPr="00AB5632">
        <w:t>innos</w:t>
      </w:r>
      <w:r w:rsidRPr="00AB5632">
        <w:rPr>
          <w:rFonts w:ascii="Arial" w:hAnsi="Arial" w:cs="Arial"/>
        </w:rPr>
        <w:t>ť</w:t>
      </w:r>
      <w:r w:rsidRPr="00AB5632">
        <w:t xml:space="preserve"> nastáva mimo uvedené faktura</w:t>
      </w:r>
      <w:r w:rsidRPr="00AB5632">
        <w:rPr>
          <w:rFonts w:ascii="Arial" w:hAnsi="Arial" w:cs="Arial"/>
        </w:rPr>
        <w:t>č</w:t>
      </w:r>
      <w:r w:rsidRPr="00AB5632">
        <w:t>né obdobia, alebo v prípadoch zrušenia odberného miesta, jeho prevodu na inú osobu, pri zmene ur</w:t>
      </w:r>
      <w:r w:rsidRPr="00AB5632">
        <w:rPr>
          <w:rFonts w:ascii="Arial" w:hAnsi="Arial" w:cs="Arial"/>
        </w:rPr>
        <w:t>č</w:t>
      </w:r>
      <w:r w:rsidRPr="00AB5632">
        <w:t xml:space="preserve">eného meradla spotreby, </w:t>
      </w:r>
      <w:proofErr w:type="spellStart"/>
      <w:r w:rsidRPr="00AB5632">
        <w:t>at</w:t>
      </w:r>
      <w:r w:rsidRPr="00AB5632">
        <w:rPr>
          <w:rFonts w:ascii="Arial" w:hAnsi="Arial" w:cs="Arial"/>
        </w:rPr>
        <w:t>ď</w:t>
      </w:r>
      <w:proofErr w:type="spellEnd"/>
      <w:r w:rsidRPr="00AB5632">
        <w:t>) sa odpo</w:t>
      </w:r>
      <w:r w:rsidRPr="00AB5632">
        <w:rPr>
          <w:rFonts w:ascii="Arial" w:hAnsi="Arial" w:cs="Arial"/>
        </w:rPr>
        <w:t>č</w:t>
      </w:r>
      <w:r w:rsidRPr="00AB5632">
        <w:t xml:space="preserve">et spotreby elektriny vykonáva aj za iné obdobie, a to v závislosti od príslušných okolností. </w:t>
      </w:r>
    </w:p>
    <w:p w14:paraId="6C611780" w14:textId="77777777" w:rsidR="0009510B" w:rsidRPr="00AB5632" w:rsidRDefault="0009510B" w:rsidP="0009510B">
      <w:pPr>
        <w:pStyle w:val="Vysvetlenie"/>
      </w:pPr>
      <w:r w:rsidRPr="00AB5632">
        <w:t>Cena za dodávku elektriny sa vo Faktura</w:t>
      </w:r>
      <w:r w:rsidRPr="00AB5632">
        <w:rPr>
          <w:rFonts w:ascii="Arial" w:hAnsi="Arial" w:cs="Arial"/>
        </w:rPr>
        <w:t>č</w:t>
      </w:r>
      <w:r w:rsidRPr="00AB5632">
        <w:t>nom období vypo</w:t>
      </w:r>
      <w:r w:rsidRPr="00AB5632">
        <w:rPr>
          <w:rFonts w:ascii="Arial" w:hAnsi="Arial" w:cs="Arial"/>
        </w:rPr>
        <w:t>č</w:t>
      </w:r>
      <w:r w:rsidRPr="00AB5632">
        <w:t>íta ako sú</w:t>
      </w:r>
      <w:r w:rsidRPr="00AB5632">
        <w:rPr>
          <w:rFonts w:ascii="Arial" w:hAnsi="Arial" w:cs="Arial"/>
        </w:rPr>
        <w:t>č</w:t>
      </w:r>
      <w:r w:rsidRPr="00AB5632">
        <w:t>in spotreby elektriny v konkrétnej hodine (Skuto</w:t>
      </w:r>
      <w:r w:rsidRPr="00AB5632">
        <w:rPr>
          <w:rFonts w:ascii="Arial" w:hAnsi="Arial" w:cs="Arial"/>
        </w:rPr>
        <w:t>č</w:t>
      </w:r>
      <w:r w:rsidRPr="00AB5632">
        <w:t>ná hodinová spotreba) a zodpovedajúcej ceny elektriny v príslušnej hodine na krátkodobom trhu (Spotová cena) zvýšenej o Aditívum. Matematické vyjadrenie vychádza z vá</w:t>
      </w:r>
      <w:r w:rsidRPr="00AB5632">
        <w:rPr>
          <w:rFonts w:ascii="Arial" w:hAnsi="Arial" w:cs="Arial"/>
        </w:rPr>
        <w:t>ž</w:t>
      </w:r>
      <w:r w:rsidRPr="00AB5632">
        <w:t>eného priemeru Spotovej ceny, pri</w:t>
      </w:r>
      <w:r w:rsidRPr="00AB5632">
        <w:rPr>
          <w:rFonts w:ascii="Arial" w:hAnsi="Arial" w:cs="Arial"/>
        </w:rPr>
        <w:t>č</w:t>
      </w:r>
      <w:r w:rsidRPr="00AB5632">
        <w:t>om ako váhy pre cenu elektriny v ka</w:t>
      </w:r>
      <w:r w:rsidRPr="00AB5632">
        <w:rPr>
          <w:rFonts w:ascii="Arial" w:hAnsi="Arial" w:cs="Arial"/>
        </w:rPr>
        <w:t>ž</w:t>
      </w:r>
      <w:r w:rsidRPr="00AB5632">
        <w:t>dej hodine sú pou</w:t>
      </w:r>
      <w:r w:rsidRPr="00AB5632">
        <w:rPr>
          <w:rFonts w:ascii="Arial" w:hAnsi="Arial" w:cs="Arial"/>
        </w:rPr>
        <w:t>ž</w:t>
      </w:r>
      <w:r w:rsidRPr="00AB5632">
        <w:t>ité údaje o spotrebe elektriny v príslušných hodinách.</w:t>
      </w:r>
    </w:p>
    <w:p w14:paraId="63CF7FE3" w14:textId="77777777" w:rsidR="0009510B" w:rsidRPr="00AB5632" w:rsidRDefault="0009510B" w:rsidP="0009510B">
      <w:pPr>
        <w:pStyle w:val="Vysvetlenie"/>
      </w:pPr>
      <w:r w:rsidRPr="00AB5632">
        <w:lastRenderedPageBreak/>
        <w:t>V Odberných miestach s </w:t>
      </w:r>
      <w:proofErr w:type="spellStart"/>
      <w:r w:rsidRPr="00AB5632">
        <w:t>priebehovým</w:t>
      </w:r>
      <w:proofErr w:type="spellEnd"/>
      <w:r w:rsidRPr="00AB5632">
        <w:t xml:space="preserve"> meraním (OM</w:t>
      </w:r>
      <w:r w:rsidRPr="00AB5632">
        <w:rPr>
          <w:vertAlign w:val="subscript"/>
        </w:rPr>
        <w:t>A</w:t>
      </w:r>
      <w:r w:rsidRPr="00AB5632">
        <w:t>) sú k dispozícii presné údaje o spotrebe elektriny v ka</w:t>
      </w:r>
      <w:r w:rsidRPr="00AB5632">
        <w:rPr>
          <w:rFonts w:ascii="Arial" w:hAnsi="Arial" w:cs="Arial"/>
        </w:rPr>
        <w:t>ž</w:t>
      </w:r>
      <w:r w:rsidRPr="00AB5632">
        <w:t xml:space="preserve">dej hodine a v Odberných miestach bez </w:t>
      </w:r>
      <w:proofErr w:type="spellStart"/>
      <w:r w:rsidRPr="00AB5632">
        <w:t>priebehového</w:t>
      </w:r>
      <w:proofErr w:type="spellEnd"/>
      <w:r w:rsidRPr="00AB5632">
        <w:t xml:space="preserve"> merania (OM</w:t>
      </w:r>
      <w:r w:rsidRPr="00AB5632">
        <w:rPr>
          <w:vertAlign w:val="subscript"/>
        </w:rPr>
        <w:t>C</w:t>
      </w:r>
      <w:r w:rsidRPr="00AB5632">
        <w:t>) sa údaje o spotrebe v ka</w:t>
      </w:r>
      <w:r w:rsidRPr="00AB5632">
        <w:rPr>
          <w:rFonts w:ascii="Arial" w:hAnsi="Arial" w:cs="Arial"/>
        </w:rPr>
        <w:t>ž</w:t>
      </w:r>
      <w:r w:rsidRPr="00AB5632">
        <w:t>dej hodine stanovujú pomocou Typových diagramov (</w:t>
      </w:r>
      <w:r w:rsidRPr="00AB5632">
        <w:rPr>
          <w:rFonts w:ascii="Arial" w:hAnsi="Arial" w:cs="Arial"/>
        </w:rPr>
        <w:t>ď</w:t>
      </w:r>
      <w:r w:rsidRPr="00AB5632">
        <w:t>alej len „</w:t>
      </w:r>
      <w:r w:rsidRPr="00AB5632">
        <w:rPr>
          <w:b/>
          <w:bCs/>
        </w:rPr>
        <w:t>Cena stanovená pomocou TDO</w:t>
      </w:r>
      <w:r w:rsidRPr="00AB5632">
        <w:t>").</w:t>
      </w:r>
    </w:p>
    <w:p w14:paraId="2A6A0101" w14:textId="77777777" w:rsidR="0009510B" w:rsidRPr="00AB5632" w:rsidRDefault="0009510B" w:rsidP="0009510B">
      <w:pPr>
        <w:pStyle w:val="Vysvetlenie"/>
      </w:pPr>
      <w:r w:rsidRPr="00AB5632">
        <w:t>Uchádza</w:t>
      </w:r>
      <w:r w:rsidRPr="00AB5632">
        <w:rPr>
          <w:rFonts w:ascii="Arial" w:hAnsi="Arial" w:cs="Arial"/>
        </w:rPr>
        <w:t>č</w:t>
      </w:r>
      <w:r w:rsidRPr="00AB5632">
        <w:t xml:space="preserve"> sa mô</w:t>
      </w:r>
      <w:r w:rsidRPr="00AB5632">
        <w:rPr>
          <w:rFonts w:ascii="Arial" w:hAnsi="Arial" w:cs="Arial"/>
        </w:rPr>
        <w:t>ž</w:t>
      </w:r>
      <w:r w:rsidRPr="00AB5632">
        <w:t>e rozhodnú</w:t>
      </w:r>
      <w:r w:rsidRPr="00AB5632">
        <w:rPr>
          <w:rFonts w:ascii="Arial" w:hAnsi="Arial" w:cs="Arial"/>
        </w:rPr>
        <w:t>ť</w:t>
      </w:r>
      <w:r w:rsidRPr="00AB5632">
        <w:t xml:space="preserve">, </w:t>
      </w:r>
      <w:r w:rsidRPr="00AB5632">
        <w:rPr>
          <w:rFonts w:ascii="Arial" w:hAnsi="Arial" w:cs="Arial"/>
        </w:rPr>
        <w:t>ž</w:t>
      </w:r>
      <w:r w:rsidRPr="00AB5632">
        <w:t xml:space="preserve">e Cena za dodávku elektriny 1 pre Odberné miesta bez </w:t>
      </w:r>
      <w:proofErr w:type="spellStart"/>
      <w:r w:rsidRPr="00AB5632">
        <w:t>priebehového</w:t>
      </w:r>
      <w:proofErr w:type="spellEnd"/>
      <w:r w:rsidRPr="00AB5632">
        <w:t xml:space="preserve"> merania (OM</w:t>
      </w:r>
      <w:r w:rsidRPr="00AB5632">
        <w:rPr>
          <w:vertAlign w:val="subscript"/>
        </w:rPr>
        <w:t>C</w:t>
      </w:r>
      <w:r w:rsidRPr="00AB5632">
        <w:t>) bude stanovená pomocou TDO bude nahradená jedným z nasledovných variantov:</w:t>
      </w:r>
    </w:p>
    <w:p w14:paraId="3FB55F87" w14:textId="77777777" w:rsidR="0009510B" w:rsidRPr="00AB5632" w:rsidRDefault="0009510B" w:rsidP="0009510B">
      <w:pPr>
        <w:pStyle w:val="Vysvetlenie"/>
        <w:rPr>
          <w:u w:val="single"/>
        </w:rPr>
      </w:pPr>
      <w:r w:rsidRPr="00AB5632">
        <w:rPr>
          <w:u w:val="single"/>
        </w:rPr>
        <w:t>Variant 1:</w:t>
      </w:r>
    </w:p>
    <w:p w14:paraId="2C1E818E" w14:textId="77777777" w:rsidR="0009510B" w:rsidRPr="00AB5632" w:rsidRDefault="0009510B" w:rsidP="0009510B">
      <w:pPr>
        <w:pStyle w:val="Vysvetlenie"/>
      </w:pPr>
      <w:r w:rsidRPr="00AB5632">
        <w:t>Jednotková cena za dodávku elektriny do OM</w:t>
      </w:r>
      <w:r w:rsidRPr="00AB5632">
        <w:rPr>
          <w:vertAlign w:val="subscript"/>
        </w:rPr>
        <w:t>C</w:t>
      </w:r>
      <w:r w:rsidRPr="00AB5632">
        <w:t xml:space="preserve"> (EUR/MWh) bude ur</w:t>
      </w:r>
      <w:r w:rsidRPr="00AB5632">
        <w:rPr>
          <w:rFonts w:ascii="Arial" w:hAnsi="Arial" w:cs="Arial"/>
        </w:rPr>
        <w:t>č</w:t>
      </w:r>
      <w:r w:rsidRPr="00AB5632">
        <w:t>ená pod</w:t>
      </w:r>
      <w:r w:rsidRPr="00AB5632">
        <w:rPr>
          <w:rFonts w:ascii="Arial" w:hAnsi="Arial" w:cs="Arial"/>
        </w:rPr>
        <w:t>ľ</w:t>
      </w:r>
      <w:r w:rsidRPr="00AB5632">
        <w:t>a vzorca (metóda vá</w:t>
      </w:r>
      <w:r w:rsidRPr="00AB5632">
        <w:rPr>
          <w:rFonts w:ascii="Arial" w:hAnsi="Arial" w:cs="Arial"/>
        </w:rPr>
        <w:t>ž</w:t>
      </w:r>
      <w:r w:rsidRPr="00AB5632">
        <w:t>eného priemeru nahradená jednoduchým aritmetickým priemerom):</w:t>
      </w:r>
    </w:p>
    <w:p w14:paraId="295CF150" w14:textId="77777777" w:rsidR="0009510B" w:rsidRPr="00AB5632" w:rsidRDefault="0031591F" w:rsidP="0009510B">
      <w:pPr>
        <w:pStyle w:val="Vysvetlenie"/>
        <w:rPr>
          <w:lang w:eastAsia="cs-CZ"/>
        </w:rPr>
      </w:pPr>
      <m:oMathPara>
        <m:oMath>
          <m:sSup>
            <m:sSupPr>
              <m:ctrlPr>
                <w:rPr>
                  <w:rFonts w:ascii="Cambria Math" w:hAnsi="Cambria Math"/>
                </w:rPr>
              </m:ctrlPr>
            </m:sSupPr>
            <m:e>
              <m:r>
                <w:rPr>
                  <w:rFonts w:ascii="Cambria Math" w:hAnsi="Cambria Math"/>
                </w:rPr>
                <m:t>C</m:t>
              </m:r>
            </m:e>
            <m:sup>
              <m:r>
                <w:rPr>
                  <w:rFonts w:ascii="Cambria Math" w:hAnsi="Cambria Math"/>
                </w:rPr>
                <m:t>'</m:t>
              </m:r>
            </m:sup>
          </m:sSup>
          <m:r>
            <w:rPr>
              <w:rFonts w:ascii="Cambria Math" w:hAnsi="Cambria Math"/>
            </w:rPr>
            <m:t>=</m:t>
          </m:r>
          <m:f>
            <m:fPr>
              <m:ctrlPr>
                <w:rPr>
                  <w:rFonts w:ascii="Cambria Math" w:hAnsi="Cambria Math"/>
                  <w:lang w:eastAsia="cs-CZ"/>
                </w:rPr>
              </m:ctrlPr>
            </m:fPr>
            <m:num>
              <m:nary>
                <m:naryPr>
                  <m:chr m:val="∑"/>
                  <m:limLoc m:val="undOvr"/>
                  <m:ctrlPr>
                    <w:rPr>
                      <w:rFonts w:ascii="Cambria Math" w:hAnsi="Cambria Math"/>
                      <w:lang w:eastAsia="cs-CZ"/>
                    </w:rPr>
                  </m:ctrlPr>
                </m:naryPr>
                <m:sub>
                  <m:r>
                    <w:rPr>
                      <w:rFonts w:ascii="Cambria Math" w:hAnsi="Cambria Math"/>
                    </w:rPr>
                    <m:t>h=</m:t>
                  </m:r>
                  <m:r>
                    <w:rPr>
                      <w:rFonts w:ascii="Cambria Math" w:hAnsi="Cambria Math"/>
                    </w:rPr>
                    <m:t>1</m:t>
                  </m:r>
                </m:sub>
                <m:sup>
                  <m:r>
                    <w:rPr>
                      <w:rFonts w:ascii="Cambria Math" w:hAnsi="Cambria Math"/>
                      <w:lang w:eastAsia="cs-CZ"/>
                    </w:rPr>
                    <m:t>H</m:t>
                  </m:r>
                </m:sup>
                <m:e>
                  <m:d>
                    <m:dPr>
                      <m:ctrlPr>
                        <w:rPr>
                          <w:rFonts w:ascii="Cambria Math" w:hAnsi="Cambria Math"/>
                          <w:lang w:eastAsia="cs-CZ"/>
                        </w:rPr>
                      </m:ctrlPr>
                    </m:dPr>
                    <m:e>
                      <m:sSub>
                        <m:sSubPr>
                          <m:ctrlPr>
                            <w:rPr>
                              <w:rFonts w:ascii="Cambria Math" w:hAnsi="Cambria Math"/>
                              <w:lang w:eastAsia="cs-CZ"/>
                            </w:rPr>
                          </m:ctrlPr>
                        </m:sSubPr>
                        <m:e>
                          <m:r>
                            <w:rPr>
                              <w:rFonts w:ascii="Cambria Math" w:hAnsi="Cambria Math"/>
                            </w:rPr>
                            <m:t>SPOT</m:t>
                          </m:r>
                        </m:e>
                        <m:sub>
                          <m:r>
                            <w:rPr>
                              <w:rFonts w:ascii="Cambria Math" w:hAnsi="Cambria Math"/>
                            </w:rPr>
                            <m:t>h</m:t>
                          </m:r>
                        </m:sub>
                      </m:sSub>
                      <m:r>
                        <w:rPr>
                          <w:rFonts w:ascii="Cambria Math" w:hAnsi="Cambria Math"/>
                        </w:rPr>
                        <m:t>+A</m:t>
                      </m:r>
                    </m:e>
                  </m:d>
                </m:e>
              </m:nary>
            </m:num>
            <m:den>
              <m:r>
                <w:rPr>
                  <w:rFonts w:ascii="Cambria Math" w:hAnsi="Cambria Math"/>
                  <w:lang w:eastAsia="cs-CZ"/>
                </w:rPr>
                <m:t>H</m:t>
              </m:r>
            </m:den>
          </m:f>
        </m:oMath>
      </m:oMathPara>
    </w:p>
    <w:p w14:paraId="6DA263E6" w14:textId="77777777" w:rsidR="0009510B" w:rsidRPr="00AB5632" w:rsidRDefault="0009510B" w:rsidP="0009510B">
      <w:pPr>
        <w:pStyle w:val="Vysvetlenie"/>
        <w:rPr>
          <w:u w:val="single"/>
        </w:rPr>
      </w:pPr>
      <w:r w:rsidRPr="00AB5632">
        <w:rPr>
          <w:u w:val="single"/>
        </w:rPr>
        <w:t>Variant 2:</w:t>
      </w:r>
    </w:p>
    <w:p w14:paraId="09DF6698" w14:textId="77777777" w:rsidR="0009510B" w:rsidRPr="00AB5632" w:rsidRDefault="0009510B" w:rsidP="0009510B">
      <w:pPr>
        <w:pStyle w:val="Vysvetlenie"/>
      </w:pPr>
      <w:r w:rsidRPr="00AB5632">
        <w:t>Jednotková Cena za dodávku elektriny do OM</w:t>
      </w:r>
      <w:r w:rsidRPr="00AB5632">
        <w:rPr>
          <w:vertAlign w:val="subscript"/>
        </w:rPr>
        <w:t>C</w:t>
      </w:r>
      <w:r w:rsidRPr="00AB5632">
        <w:t xml:space="preserve"> (EUR/MWh) bude odvodená od priemernej jednotkovej ceny pre OM</w:t>
      </w:r>
      <w:r w:rsidRPr="00AB5632">
        <w:rPr>
          <w:vertAlign w:val="subscript"/>
        </w:rPr>
        <w:t>A</w:t>
      </w:r>
      <w:r w:rsidRPr="00AB5632">
        <w:t>, do výpo</w:t>
      </w:r>
      <w:r w:rsidRPr="00AB5632">
        <w:rPr>
          <w:rFonts w:ascii="Arial" w:hAnsi="Arial" w:cs="Arial"/>
        </w:rPr>
        <w:t>č</w:t>
      </w:r>
      <w:r w:rsidRPr="00AB5632">
        <w:t>tu ktorej vstupujú údaje za odberné miesta OM</w:t>
      </w:r>
      <w:r w:rsidRPr="00AB5632">
        <w:rPr>
          <w:vertAlign w:val="subscript"/>
        </w:rPr>
        <w:t>A</w:t>
      </w:r>
    </w:p>
    <w:p w14:paraId="5A6F8865" w14:textId="77777777" w:rsidR="0009510B" w:rsidRPr="00AB5632" w:rsidRDefault="0009510B" w:rsidP="0009510B">
      <w:pPr>
        <w:pStyle w:val="Vysvetlenie"/>
      </w:pPr>
      <w:r w:rsidRPr="00AB5632">
        <w:t>za obdobie, ktoré zodpovedá Faktura</w:t>
      </w:r>
      <w:r w:rsidRPr="00AB5632">
        <w:rPr>
          <w:rFonts w:ascii="Arial" w:hAnsi="Arial" w:cs="Arial"/>
        </w:rPr>
        <w:t>č</w:t>
      </w:r>
      <w:r w:rsidRPr="00AB5632">
        <w:t>nému obdobiu, ktoré je základom pre stanovenie ceny pre OM</w:t>
      </w:r>
      <w:r w:rsidRPr="00AB5632">
        <w:rPr>
          <w:vertAlign w:val="subscript"/>
        </w:rPr>
        <w:t>C</w:t>
      </w:r>
      <w:r w:rsidRPr="00AB5632">
        <w:t xml:space="preserve"> (</w:t>
      </w:r>
      <w:r w:rsidRPr="00AB5632">
        <w:rPr>
          <w:rFonts w:ascii="Arial" w:hAnsi="Arial" w:cs="Arial"/>
        </w:rPr>
        <w:t>ď</w:t>
      </w:r>
      <w:r w:rsidRPr="00AB5632">
        <w:t>alej len „</w:t>
      </w:r>
      <w:r w:rsidRPr="00AB5632">
        <w:rPr>
          <w:b/>
          <w:bCs/>
        </w:rPr>
        <w:t>Rozhodujúce faktura</w:t>
      </w:r>
      <w:r w:rsidRPr="00AB5632">
        <w:rPr>
          <w:rFonts w:ascii="Arial" w:hAnsi="Arial" w:cs="Arial"/>
          <w:b/>
          <w:bCs/>
        </w:rPr>
        <w:t>č</w:t>
      </w:r>
      <w:r w:rsidRPr="00AB5632">
        <w:rPr>
          <w:b/>
          <w:bCs/>
        </w:rPr>
        <w:t>né obdobie</w:t>
      </w:r>
      <w:r w:rsidRPr="00AB5632">
        <w:t>"),</w:t>
      </w:r>
    </w:p>
    <w:p w14:paraId="03D066DB" w14:textId="77777777" w:rsidR="0009510B" w:rsidRPr="00AB5632" w:rsidRDefault="0009510B" w:rsidP="0009510B">
      <w:pPr>
        <w:pStyle w:val="Vysvetlenie"/>
      </w:pPr>
      <w:r w:rsidRPr="00AB5632">
        <w:t>ktoré boli po</w:t>
      </w:r>
      <w:r w:rsidRPr="00AB5632">
        <w:rPr>
          <w:rFonts w:ascii="Arial" w:hAnsi="Arial" w:cs="Arial"/>
        </w:rPr>
        <w:t>č</w:t>
      </w:r>
      <w:r w:rsidRPr="00AB5632">
        <w:t>as celého Rozhodujúceho faktura</w:t>
      </w:r>
      <w:r w:rsidRPr="00AB5632">
        <w:rPr>
          <w:rFonts w:ascii="Arial" w:hAnsi="Arial" w:cs="Arial"/>
        </w:rPr>
        <w:t>č</w:t>
      </w:r>
      <w:r w:rsidRPr="00AB5632">
        <w:t>ného obdobia OM</w:t>
      </w:r>
      <w:r w:rsidRPr="00AB5632">
        <w:rPr>
          <w:vertAlign w:val="subscript"/>
        </w:rPr>
        <w:t xml:space="preserve">A, </w:t>
      </w:r>
      <w:r w:rsidRPr="00AB5632">
        <w:t xml:space="preserve">tzn., </w:t>
      </w:r>
      <w:r w:rsidRPr="00AB5632">
        <w:rPr>
          <w:rFonts w:ascii="Arial" w:hAnsi="Arial" w:cs="Arial"/>
        </w:rPr>
        <w:t>ž</w:t>
      </w:r>
      <w:r w:rsidRPr="00AB5632">
        <w:t>e budú zoh</w:t>
      </w:r>
      <w:r w:rsidRPr="00AB5632">
        <w:rPr>
          <w:rFonts w:ascii="Arial" w:hAnsi="Arial" w:cs="Arial"/>
        </w:rPr>
        <w:t>ľ</w:t>
      </w:r>
      <w:r w:rsidRPr="00AB5632">
        <w:t>ad</w:t>
      </w:r>
      <w:r w:rsidRPr="00AB5632">
        <w:rPr>
          <w:rFonts w:ascii="Arial" w:hAnsi="Arial" w:cs="Arial"/>
        </w:rPr>
        <w:t>ň</w:t>
      </w:r>
      <w:r w:rsidRPr="00AB5632">
        <w:t>ované údaje len za OM, ktoré boli po</w:t>
      </w:r>
      <w:r w:rsidRPr="00AB5632">
        <w:rPr>
          <w:rFonts w:ascii="Arial" w:hAnsi="Arial" w:cs="Arial"/>
        </w:rPr>
        <w:t>č</w:t>
      </w:r>
      <w:r w:rsidRPr="00AB5632">
        <w:t>as celého Rozhodujúceho faktura</w:t>
      </w:r>
      <w:r w:rsidRPr="00AB5632">
        <w:rPr>
          <w:rFonts w:ascii="Arial" w:hAnsi="Arial" w:cs="Arial"/>
        </w:rPr>
        <w:t>č</w:t>
      </w:r>
      <w:r w:rsidRPr="00AB5632">
        <w:t>ného obdobia vybavené meraním typu A (ak niektoré OM bolo aspo</w:t>
      </w:r>
      <w:r w:rsidRPr="00AB5632">
        <w:rPr>
          <w:rFonts w:ascii="Arial" w:hAnsi="Arial" w:cs="Arial"/>
        </w:rPr>
        <w:t>ň</w:t>
      </w:r>
      <w:r w:rsidRPr="00AB5632">
        <w:t xml:space="preserve"> </w:t>
      </w:r>
      <w:r w:rsidRPr="00AB5632">
        <w:rPr>
          <w:rFonts w:ascii="Arial" w:hAnsi="Arial" w:cs="Arial"/>
        </w:rPr>
        <w:t>č</w:t>
      </w:r>
      <w:r w:rsidRPr="00AB5632">
        <w:t>as</w:t>
      </w:r>
      <w:r w:rsidRPr="00AB5632">
        <w:rPr>
          <w:rFonts w:ascii="Arial" w:hAnsi="Arial" w:cs="Arial"/>
        </w:rPr>
        <w:t>ť</w:t>
      </w:r>
      <w:r w:rsidRPr="00AB5632">
        <w:t xml:space="preserve"> Rozhodujúceho faktura</w:t>
      </w:r>
      <w:r w:rsidRPr="00AB5632">
        <w:rPr>
          <w:rFonts w:ascii="Arial" w:hAnsi="Arial" w:cs="Arial"/>
        </w:rPr>
        <w:t>č</w:t>
      </w:r>
      <w:r w:rsidRPr="00AB5632">
        <w:t>ného obdobia vybavené meraním typu C, nebudú jeho údaje vo výpo</w:t>
      </w:r>
      <w:r w:rsidRPr="00AB5632">
        <w:rPr>
          <w:rFonts w:ascii="Arial" w:hAnsi="Arial" w:cs="Arial"/>
        </w:rPr>
        <w:t>č</w:t>
      </w:r>
      <w:r w:rsidRPr="00AB5632">
        <w:t>te zoh</w:t>
      </w:r>
      <w:r w:rsidRPr="00AB5632">
        <w:rPr>
          <w:rFonts w:ascii="Arial" w:hAnsi="Arial" w:cs="Arial"/>
        </w:rPr>
        <w:t>ľ</w:t>
      </w:r>
      <w:r w:rsidRPr="00AB5632">
        <w:t>adnené).</w:t>
      </w:r>
    </w:p>
    <w:p w14:paraId="6D06A311" w14:textId="77777777" w:rsidR="0009510B" w:rsidRPr="00AB5632" w:rsidRDefault="0009510B" w:rsidP="0009510B">
      <w:pPr>
        <w:pStyle w:val="Vysvetlenie"/>
        <w:rPr>
          <w:lang w:eastAsia="cs-CZ" w:bidi="cs-CZ"/>
        </w:rPr>
      </w:pPr>
      <w:r w:rsidRPr="00AB5632">
        <w:rPr>
          <w:lang w:eastAsia="cs-CZ" w:bidi="cs-CZ"/>
        </w:rPr>
        <w:t>Ak úspešný uchádza</w:t>
      </w:r>
      <w:r w:rsidRPr="00AB5632">
        <w:rPr>
          <w:rFonts w:ascii="Arial" w:hAnsi="Arial" w:cs="Arial"/>
          <w:lang w:eastAsia="cs-CZ" w:bidi="cs-CZ"/>
        </w:rPr>
        <w:t>č</w:t>
      </w:r>
      <w:r w:rsidRPr="00AB5632">
        <w:rPr>
          <w:lang w:eastAsia="cs-CZ" w:bidi="cs-CZ"/>
        </w:rPr>
        <w:t xml:space="preserve"> nezvolí v návrhu Zmluvy jeden z uvedených Variantov (Variant 1 alebo Variant 2) Cena za dodávku elektriny 1 do OM</w:t>
      </w:r>
      <w:r w:rsidRPr="00AB5632">
        <w:rPr>
          <w:vertAlign w:val="subscript"/>
          <w:lang w:eastAsia="cs-CZ" w:bidi="cs-CZ"/>
        </w:rPr>
        <w:t>C</w:t>
      </w:r>
      <w:r w:rsidRPr="00AB5632">
        <w:rPr>
          <w:lang w:eastAsia="cs-CZ" w:bidi="cs-CZ"/>
        </w:rPr>
        <w:t xml:space="preserve"> bude stanovená pomocou TDO</w:t>
      </w:r>
      <w:r w:rsidRPr="00AB5632">
        <w:rPr>
          <w:bCs/>
          <w:lang w:eastAsia="cs-CZ" w:bidi="cs-CZ"/>
        </w:rPr>
        <w:t>.</w:t>
      </w:r>
    </w:p>
    <w:p w14:paraId="32AAB644" w14:textId="77777777" w:rsidR="0009510B" w:rsidRPr="00AB5632" w:rsidRDefault="0009510B" w:rsidP="0009510B">
      <w:pPr>
        <w:pStyle w:val="Zoznam5"/>
      </w:pPr>
      <w:r w:rsidRPr="00AB5632">
        <w:t>Cena za dodávku elektriny pre Odberné miesta s nemeraným odberom.</w:t>
      </w:r>
    </w:p>
    <w:p w14:paraId="5A1F288A" w14:textId="77777777" w:rsidR="0009510B" w:rsidRPr="00AB5632" w:rsidRDefault="0009510B" w:rsidP="0009510B">
      <w:pPr>
        <w:pStyle w:val="Zoznamsodrkami"/>
      </w:pPr>
      <w:r w:rsidRPr="00AB5632">
        <w:t xml:space="preserve">Cena </w:t>
      </w:r>
      <w:bookmarkStart w:id="25" w:name="OLE_LINK29"/>
      <w:r w:rsidRPr="00AB5632">
        <w:t>za dodávku elektriny</w:t>
      </w:r>
      <w:bookmarkEnd w:id="17"/>
      <w:r w:rsidRPr="00AB5632">
        <w:t xml:space="preserve"> </w:t>
      </w:r>
      <w:bookmarkEnd w:id="25"/>
      <w:r w:rsidRPr="00AB5632">
        <w:t xml:space="preserve">pre Odberné miesta s nemeraným odberom je </w:t>
      </w:r>
      <w:r w:rsidRPr="00AB5632">
        <w:rPr>
          <w:b/>
        </w:rPr>
        <w:t>1,00 EUR za odberné miesto za mesiac</w:t>
      </w:r>
      <w:r w:rsidRPr="00AB5632">
        <w:t xml:space="preserve"> (ďalej len „</w:t>
      </w:r>
      <w:r w:rsidRPr="00AB5632">
        <w:rPr>
          <w:b/>
        </w:rPr>
        <w:t>Cena za dodávku elektriny 2</w:t>
      </w:r>
      <w:r w:rsidRPr="00AB5632">
        <w:t>“).</w:t>
      </w:r>
    </w:p>
    <w:p w14:paraId="2584A811" w14:textId="77777777" w:rsidR="00430176" w:rsidRDefault="0009510B" w:rsidP="00430176">
      <w:pPr>
        <w:pStyle w:val="Zoznam5"/>
      </w:pPr>
      <w:r w:rsidRPr="0009510B">
        <w:t xml:space="preserve">Cena za dodávku elektriny 1 a Cena za dodávku elektriny 2 (ďalej ako „Cena za dodávku elektriny“) zahŕňa aj cenu Poskytovateľa za prevzatie zodpovedností za odchýlku za Odberné miesta voči </w:t>
      </w:r>
      <w:proofErr w:type="spellStart"/>
      <w:r w:rsidRPr="0009510B">
        <w:t>zúčtovateľovi</w:t>
      </w:r>
      <w:proofErr w:type="spellEnd"/>
      <w:r w:rsidRPr="0009510B">
        <w:t xml:space="preserve"> odchýlok a všetky jeho ekonomicky oprávnené náklady účelne vynaložené v súvislosti s poskytovaním Zmluvných plnení podľa tejto Zmluvy a primeraný zisk Poskytovateľa.</w:t>
      </w:r>
      <w:bookmarkStart w:id="26" w:name="bookmark63"/>
      <w:bookmarkEnd w:id="18"/>
    </w:p>
    <w:bookmarkEnd w:id="26"/>
    <w:p w14:paraId="6FF49A81" w14:textId="15D830F7" w:rsidR="001F3866" w:rsidRDefault="001F3866" w:rsidP="00570382">
      <w:pPr>
        <w:spacing w:after="0" w:line="240" w:lineRule="auto"/>
        <w:jc w:val="center"/>
        <w:rPr>
          <w:rFonts w:ascii="Arial Narrow" w:hAnsi="Arial Narrow" w:cs="Times New Roman"/>
          <w:b/>
          <w:bCs/>
        </w:rPr>
      </w:pPr>
    </w:p>
    <w:p w14:paraId="214092B0" w14:textId="4B8DCDD2" w:rsidR="006420D6" w:rsidRDefault="006420D6" w:rsidP="00570382">
      <w:pPr>
        <w:spacing w:after="0" w:line="240" w:lineRule="auto"/>
        <w:jc w:val="center"/>
        <w:rPr>
          <w:rFonts w:ascii="Arial Narrow" w:hAnsi="Arial Narrow" w:cs="Times New Roman"/>
          <w:b/>
          <w:bCs/>
        </w:rPr>
      </w:pPr>
    </w:p>
    <w:p w14:paraId="1A1DCC7B" w14:textId="043A4BCD" w:rsidR="00430176" w:rsidRDefault="00430176" w:rsidP="00570382">
      <w:pPr>
        <w:spacing w:after="0" w:line="240" w:lineRule="auto"/>
        <w:jc w:val="center"/>
        <w:rPr>
          <w:rFonts w:ascii="Arial Narrow" w:hAnsi="Arial Narrow" w:cs="Times New Roman"/>
          <w:b/>
          <w:bCs/>
        </w:rPr>
      </w:pPr>
    </w:p>
    <w:p w14:paraId="4B7AA507" w14:textId="3B19E82B" w:rsidR="00430176" w:rsidRDefault="00430176" w:rsidP="00570382">
      <w:pPr>
        <w:spacing w:after="0" w:line="240" w:lineRule="auto"/>
        <w:jc w:val="center"/>
        <w:rPr>
          <w:rFonts w:ascii="Arial Narrow" w:hAnsi="Arial Narrow" w:cs="Times New Roman"/>
          <w:b/>
          <w:bCs/>
        </w:rPr>
      </w:pPr>
    </w:p>
    <w:p w14:paraId="6BEC7F4D" w14:textId="6ADCAA53" w:rsidR="00430176" w:rsidRDefault="00430176" w:rsidP="00570382">
      <w:pPr>
        <w:spacing w:after="0" w:line="240" w:lineRule="auto"/>
        <w:jc w:val="center"/>
        <w:rPr>
          <w:rFonts w:ascii="Arial Narrow" w:hAnsi="Arial Narrow" w:cs="Times New Roman"/>
          <w:b/>
          <w:bCs/>
        </w:rPr>
      </w:pPr>
    </w:p>
    <w:p w14:paraId="2E7F2E03" w14:textId="6014E64E" w:rsidR="00430176" w:rsidRDefault="00430176" w:rsidP="00570382">
      <w:pPr>
        <w:spacing w:after="0" w:line="240" w:lineRule="auto"/>
        <w:jc w:val="center"/>
        <w:rPr>
          <w:rFonts w:ascii="Arial Narrow" w:hAnsi="Arial Narrow" w:cs="Times New Roman"/>
          <w:b/>
          <w:bCs/>
        </w:rPr>
      </w:pPr>
    </w:p>
    <w:p w14:paraId="1CD4278A" w14:textId="11FD8D83" w:rsidR="00430176" w:rsidRDefault="00430176" w:rsidP="00570382">
      <w:pPr>
        <w:spacing w:after="0" w:line="240" w:lineRule="auto"/>
        <w:jc w:val="center"/>
        <w:rPr>
          <w:rFonts w:ascii="Arial Narrow" w:hAnsi="Arial Narrow" w:cs="Times New Roman"/>
          <w:b/>
          <w:bCs/>
        </w:rPr>
      </w:pPr>
    </w:p>
    <w:p w14:paraId="472A8CCB" w14:textId="4668160C" w:rsidR="00430176" w:rsidRDefault="00430176" w:rsidP="00570382">
      <w:pPr>
        <w:spacing w:after="0" w:line="240" w:lineRule="auto"/>
        <w:jc w:val="center"/>
        <w:rPr>
          <w:rFonts w:ascii="Arial Narrow" w:hAnsi="Arial Narrow" w:cs="Times New Roman"/>
          <w:b/>
          <w:bCs/>
        </w:rPr>
      </w:pPr>
    </w:p>
    <w:p w14:paraId="22229D15" w14:textId="24F0F67D" w:rsidR="00430176" w:rsidRDefault="00430176" w:rsidP="00570382">
      <w:pPr>
        <w:spacing w:after="0" w:line="240" w:lineRule="auto"/>
        <w:jc w:val="center"/>
        <w:rPr>
          <w:rFonts w:ascii="Arial Narrow" w:hAnsi="Arial Narrow" w:cs="Times New Roman"/>
          <w:b/>
          <w:bCs/>
        </w:rPr>
      </w:pPr>
    </w:p>
    <w:p w14:paraId="4B2CD44E" w14:textId="11D98556" w:rsidR="00430176" w:rsidRDefault="00430176" w:rsidP="00570382">
      <w:pPr>
        <w:spacing w:after="0" w:line="240" w:lineRule="auto"/>
        <w:jc w:val="center"/>
        <w:rPr>
          <w:rFonts w:ascii="Arial Narrow" w:hAnsi="Arial Narrow" w:cs="Times New Roman"/>
          <w:b/>
          <w:bCs/>
        </w:rPr>
      </w:pPr>
    </w:p>
    <w:p w14:paraId="60DCF547" w14:textId="17BA981C" w:rsidR="00430176" w:rsidRDefault="00430176" w:rsidP="00570382">
      <w:pPr>
        <w:spacing w:after="0" w:line="240" w:lineRule="auto"/>
        <w:jc w:val="center"/>
        <w:rPr>
          <w:rFonts w:ascii="Arial Narrow" w:hAnsi="Arial Narrow" w:cs="Times New Roman"/>
          <w:b/>
          <w:bCs/>
        </w:rPr>
      </w:pPr>
    </w:p>
    <w:p w14:paraId="6C6A328D" w14:textId="412236E5" w:rsidR="00430176" w:rsidRDefault="00430176" w:rsidP="00570382">
      <w:pPr>
        <w:spacing w:after="0" w:line="240" w:lineRule="auto"/>
        <w:jc w:val="center"/>
        <w:rPr>
          <w:rFonts w:ascii="Arial Narrow" w:hAnsi="Arial Narrow" w:cs="Times New Roman"/>
          <w:b/>
          <w:bCs/>
        </w:rPr>
      </w:pPr>
    </w:p>
    <w:p w14:paraId="58A0C9C7" w14:textId="2B69C849" w:rsidR="00430176" w:rsidRDefault="00430176" w:rsidP="00570382">
      <w:pPr>
        <w:spacing w:after="0" w:line="240" w:lineRule="auto"/>
        <w:jc w:val="center"/>
        <w:rPr>
          <w:rFonts w:ascii="Arial Narrow" w:hAnsi="Arial Narrow" w:cs="Times New Roman"/>
          <w:b/>
          <w:bCs/>
        </w:rPr>
      </w:pPr>
    </w:p>
    <w:p w14:paraId="14356F11" w14:textId="60F28AC8" w:rsidR="00430176" w:rsidRDefault="00430176" w:rsidP="00570382">
      <w:pPr>
        <w:spacing w:after="0" w:line="240" w:lineRule="auto"/>
        <w:jc w:val="center"/>
        <w:rPr>
          <w:rFonts w:ascii="Arial Narrow" w:hAnsi="Arial Narrow" w:cs="Times New Roman"/>
          <w:b/>
          <w:bCs/>
        </w:rPr>
      </w:pPr>
    </w:p>
    <w:p w14:paraId="53C30FEB" w14:textId="7D468E79" w:rsidR="00430176" w:rsidRDefault="00430176" w:rsidP="00570382">
      <w:pPr>
        <w:spacing w:after="0" w:line="240" w:lineRule="auto"/>
        <w:jc w:val="center"/>
        <w:rPr>
          <w:rFonts w:ascii="Arial Narrow" w:hAnsi="Arial Narrow" w:cs="Times New Roman"/>
          <w:b/>
          <w:bCs/>
        </w:rPr>
      </w:pPr>
    </w:p>
    <w:p w14:paraId="16D4AB93" w14:textId="77C6E45D" w:rsidR="00430176" w:rsidRDefault="00430176" w:rsidP="00570382">
      <w:pPr>
        <w:spacing w:after="0" w:line="240" w:lineRule="auto"/>
        <w:jc w:val="center"/>
        <w:rPr>
          <w:rFonts w:ascii="Arial Narrow" w:hAnsi="Arial Narrow" w:cs="Times New Roman"/>
          <w:b/>
          <w:bCs/>
        </w:rPr>
      </w:pPr>
    </w:p>
    <w:p w14:paraId="2433CC4E" w14:textId="7231A460" w:rsidR="00430176" w:rsidRDefault="00430176" w:rsidP="00570382">
      <w:pPr>
        <w:spacing w:after="0" w:line="240" w:lineRule="auto"/>
        <w:jc w:val="center"/>
        <w:rPr>
          <w:rFonts w:ascii="Arial Narrow" w:hAnsi="Arial Narrow" w:cs="Times New Roman"/>
          <w:b/>
          <w:bCs/>
        </w:rPr>
      </w:pPr>
    </w:p>
    <w:p w14:paraId="757BE11F" w14:textId="2C7851FB" w:rsidR="00430176" w:rsidRDefault="00430176" w:rsidP="00570382">
      <w:pPr>
        <w:spacing w:after="0" w:line="240" w:lineRule="auto"/>
        <w:jc w:val="center"/>
        <w:rPr>
          <w:rFonts w:ascii="Arial Narrow" w:hAnsi="Arial Narrow" w:cs="Times New Roman"/>
          <w:b/>
          <w:bCs/>
        </w:rPr>
      </w:pPr>
    </w:p>
    <w:p w14:paraId="1EEDDD6E" w14:textId="2654973C" w:rsidR="00430176" w:rsidRDefault="00430176" w:rsidP="00570382">
      <w:pPr>
        <w:spacing w:after="0" w:line="240" w:lineRule="auto"/>
        <w:jc w:val="center"/>
        <w:rPr>
          <w:rFonts w:ascii="Arial Narrow" w:hAnsi="Arial Narrow" w:cs="Times New Roman"/>
          <w:b/>
          <w:bCs/>
        </w:rPr>
      </w:pPr>
    </w:p>
    <w:p w14:paraId="163A9D36" w14:textId="61ADCDDF" w:rsidR="00430176" w:rsidRDefault="00430176" w:rsidP="00570382">
      <w:pPr>
        <w:spacing w:after="0" w:line="240" w:lineRule="auto"/>
        <w:jc w:val="center"/>
        <w:rPr>
          <w:rFonts w:ascii="Arial Narrow" w:hAnsi="Arial Narrow" w:cs="Times New Roman"/>
          <w:b/>
          <w:bCs/>
        </w:rPr>
      </w:pPr>
    </w:p>
    <w:p w14:paraId="63BFD91F" w14:textId="51F976CB" w:rsidR="00430176" w:rsidRDefault="00430176" w:rsidP="00570382">
      <w:pPr>
        <w:spacing w:after="0" w:line="240" w:lineRule="auto"/>
        <w:jc w:val="center"/>
        <w:rPr>
          <w:rFonts w:ascii="Arial Narrow" w:hAnsi="Arial Narrow" w:cs="Times New Roman"/>
          <w:b/>
          <w:bCs/>
        </w:rPr>
      </w:pPr>
    </w:p>
    <w:p w14:paraId="6A4F1F3D" w14:textId="786E4AA9" w:rsidR="00430176" w:rsidRDefault="00430176" w:rsidP="00570382">
      <w:pPr>
        <w:spacing w:after="0" w:line="240" w:lineRule="auto"/>
        <w:jc w:val="center"/>
        <w:rPr>
          <w:rFonts w:ascii="Arial Narrow" w:hAnsi="Arial Narrow" w:cs="Times New Roman"/>
          <w:b/>
          <w:bCs/>
        </w:rPr>
      </w:pPr>
    </w:p>
    <w:p w14:paraId="6C7DFC0F" w14:textId="6CE08DA2" w:rsidR="00430176" w:rsidRDefault="00430176" w:rsidP="00570382">
      <w:pPr>
        <w:spacing w:after="0" w:line="240" w:lineRule="auto"/>
        <w:rPr>
          <w:rFonts w:ascii="Arial Narrow" w:hAnsi="Arial Narrow" w:cs="Times New Roman"/>
        </w:rPr>
      </w:pPr>
    </w:p>
    <w:p w14:paraId="7DA6843F" w14:textId="77777777" w:rsidR="00430176" w:rsidRDefault="00430176"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675CACD8" w:rsidR="00FB2243"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Zoznam subdodávateľov Poskytovateľa</w:t>
      </w:r>
    </w:p>
    <w:p w14:paraId="695FD14E" w14:textId="7763B79C" w:rsidR="003E3DEF" w:rsidRDefault="003E3DEF" w:rsidP="00570382">
      <w:pPr>
        <w:spacing w:after="0" w:line="240" w:lineRule="auto"/>
        <w:jc w:val="center"/>
        <w:rPr>
          <w:rFonts w:ascii="Arial Narrow" w:hAnsi="Arial Narrow" w:cs="Times New Roman"/>
          <w:b/>
          <w:bCs/>
        </w:rPr>
      </w:pPr>
    </w:p>
    <w:p w14:paraId="4787DFFF" w14:textId="77777777" w:rsidR="003E3DEF" w:rsidRDefault="003E3DEF">
      <w:pPr>
        <w:rPr>
          <w:rFonts w:ascii="Arial Narrow" w:hAnsi="Arial Narrow" w:cs="Times New Roman"/>
          <w:b/>
          <w:bCs/>
        </w:rPr>
      </w:pPr>
      <w:r>
        <w:rPr>
          <w:rFonts w:ascii="Arial Narrow" w:hAnsi="Arial Narrow" w:cs="Times New Roman"/>
          <w:b/>
          <w:bCs/>
        </w:rPr>
        <w:br w:type="page"/>
      </w:r>
    </w:p>
    <w:p w14:paraId="42A91679" w14:textId="77777777" w:rsidR="003E3DEF" w:rsidRPr="003E3DEF" w:rsidRDefault="003E3DEF" w:rsidP="003E3DEF">
      <w:pPr>
        <w:pStyle w:val="Nadpis2"/>
        <w:jc w:val="center"/>
        <w:rPr>
          <w:rFonts w:ascii="Arial Narrow" w:eastAsia="Times New Roman" w:hAnsi="Arial Narrow" w:cs="Calibri (Body)"/>
          <w:b/>
          <w:color w:val="auto"/>
          <w:sz w:val="22"/>
          <w:szCs w:val="24"/>
          <w:lang w:eastAsia="en-GB" w:bidi="cs-CZ"/>
        </w:rPr>
      </w:pPr>
      <w:bookmarkStart w:id="27" w:name="OLE_LINK83"/>
      <w:r w:rsidRPr="003E3DEF">
        <w:rPr>
          <w:rFonts w:ascii="Arial Narrow" w:eastAsia="Times New Roman" w:hAnsi="Arial Narrow" w:cs="Calibri (Body)"/>
          <w:b/>
          <w:color w:val="auto"/>
          <w:sz w:val="22"/>
          <w:szCs w:val="24"/>
          <w:lang w:eastAsia="en-GB" w:bidi="cs-CZ"/>
        </w:rPr>
        <w:lastRenderedPageBreak/>
        <w:t>Príloha č. 6</w:t>
      </w:r>
    </w:p>
    <w:p w14:paraId="6BCFFBD1" w14:textId="77777777" w:rsidR="003E3DEF" w:rsidRPr="003E3DEF" w:rsidRDefault="003E3DEF" w:rsidP="003E3DEF">
      <w:pPr>
        <w:pStyle w:val="Nadpis2"/>
        <w:jc w:val="center"/>
        <w:rPr>
          <w:rFonts w:ascii="Arial Narrow" w:eastAsia="Times New Roman" w:hAnsi="Arial Narrow" w:cs="Calibri (Body)"/>
          <w:b/>
          <w:color w:val="auto"/>
          <w:sz w:val="22"/>
          <w:szCs w:val="24"/>
          <w:lang w:eastAsia="en-GB" w:bidi="cs-CZ"/>
        </w:rPr>
      </w:pPr>
      <w:bookmarkStart w:id="28" w:name="OLE_LINK85"/>
      <w:r w:rsidRPr="003E3DEF">
        <w:rPr>
          <w:rFonts w:ascii="Arial Narrow" w:eastAsia="Times New Roman" w:hAnsi="Arial Narrow" w:cs="Calibri (Body)"/>
          <w:b/>
          <w:color w:val="auto"/>
          <w:sz w:val="22"/>
          <w:szCs w:val="24"/>
          <w:lang w:eastAsia="en-GB" w:bidi="cs-CZ"/>
        </w:rPr>
        <w:t>Výška Preddavkov</w:t>
      </w:r>
      <w:bookmarkEnd w:id="28"/>
    </w:p>
    <w:p w14:paraId="24FC754B" w14:textId="77777777" w:rsidR="003E3DEF" w:rsidRPr="00AB5632" w:rsidRDefault="003E3DEF" w:rsidP="003E3DEF">
      <w:pPr>
        <w:pStyle w:val="Zoznam4"/>
        <w:numPr>
          <w:ilvl w:val="0"/>
          <w:numId w:val="31"/>
        </w:numPr>
      </w:pPr>
      <w:bookmarkStart w:id="29" w:name="OLE_LINK103"/>
      <w:r w:rsidRPr="00AB5632">
        <w:t xml:space="preserve">Preddavky sa týkajú všetkých </w:t>
      </w:r>
      <w:r w:rsidRPr="00AB5632">
        <w:rPr>
          <w:lang w:bidi="cs-CZ"/>
        </w:rPr>
        <w:t>Odberných</w:t>
      </w:r>
      <w:r w:rsidRPr="00AB5632">
        <w:t xml:space="preserve"> miest okrem Odberných miest s nemeraným odberom.</w:t>
      </w:r>
    </w:p>
    <w:p w14:paraId="042C752C" w14:textId="77777777" w:rsidR="003E3DEF" w:rsidRPr="00AB5632" w:rsidRDefault="003E3DEF" w:rsidP="003E3DEF">
      <w:pPr>
        <w:pStyle w:val="Zoznam5"/>
      </w:pPr>
      <w:r w:rsidRPr="00AB5632">
        <w:t xml:space="preserve">Výška Preddavkov </w:t>
      </w:r>
      <w:bookmarkEnd w:id="29"/>
      <w:r w:rsidRPr="00AB5632">
        <w:t>na cenu Zmluvného plnenia zodpovedá predpokladanej cene Zmluvného plnenia za kalendárny mesiac.</w:t>
      </w:r>
    </w:p>
    <w:p w14:paraId="3897D1EE" w14:textId="77777777" w:rsidR="003E3DEF" w:rsidRPr="00AB5632" w:rsidRDefault="003E3DEF" w:rsidP="003E3DEF">
      <w:pPr>
        <w:pStyle w:val="Zoznam5"/>
      </w:pPr>
      <w:r w:rsidRPr="00AB5632">
        <w:t xml:space="preserve">Preddavok zohľadňuje množstvo elektriny vo výške 6,70% z </w:t>
      </w:r>
      <w:bookmarkStart w:id="30" w:name="OLE_LINK13"/>
      <w:r w:rsidRPr="00AB5632">
        <w:t>Predpokladaného odberu</w:t>
      </w:r>
      <w:bookmarkEnd w:id="30"/>
      <w:r w:rsidRPr="00AB5632">
        <w:t xml:space="preserve"> a všetky zložky ceny podľa článku 4 Zmluvy (</w:t>
      </w:r>
      <w:proofErr w:type="spellStart"/>
      <w:r w:rsidRPr="00AB5632">
        <w:t>t.j</w:t>
      </w:r>
      <w:proofErr w:type="spellEnd"/>
      <w:r w:rsidRPr="00AB5632">
        <w:t>. Cenu za dodávku elektriny, Ceny za regulované služby, spotrebnú daň a DPH).</w:t>
      </w:r>
    </w:p>
    <w:p w14:paraId="335D7319" w14:textId="77777777" w:rsidR="003E3DEF" w:rsidRPr="00AB5632" w:rsidRDefault="003E3DEF" w:rsidP="003E3DEF">
      <w:pPr>
        <w:pStyle w:val="Zoznam5"/>
      </w:pPr>
      <w:r w:rsidRPr="00AB5632">
        <w:t>Pre účely výpočtu Preddavkov sa miesto Ceny za dodávku elektriny použije cena vypočítaná ako súčet Indexu DT a hodnoty Aditíva A (ďalej len „</w:t>
      </w:r>
      <w:r w:rsidRPr="00AB5632">
        <w:rPr>
          <w:b/>
          <w:bCs/>
        </w:rPr>
        <w:t>Preddavková cena</w:t>
      </w:r>
      <w:r w:rsidRPr="00AB5632">
        <w:t xml:space="preserve">“). Index DT je priemerná cena elektriny na krátkodobom trhu organizovanom spoločnosťou OKTE, </w:t>
      </w:r>
      <w:proofErr w:type="spellStart"/>
      <w:r w:rsidRPr="00AB5632">
        <w:t>a.s</w:t>
      </w:r>
      <w:proofErr w:type="spellEnd"/>
      <w:r w:rsidRPr="00AB5632">
        <w:t xml:space="preserve">., IČO 45 687 862, ktorá je zverejnená na stránke </w:t>
      </w:r>
      <w:hyperlink r:id="rId10" w:history="1">
        <w:r w:rsidRPr="00AB5632">
          <w:rPr>
            <w:rStyle w:val="Hypertextovprepojenie"/>
          </w:rPr>
          <w:t>www.okte.sk</w:t>
        </w:r>
      </w:hyperlink>
      <w:r w:rsidRPr="00AB5632">
        <w:t>, časť „KRÁTKODOBÝ TRH“, „Zverejnenie údajov DT“, „Indexy DT“ a jej výška zodpovedá hodnote „Base", „Mesačné indexy " a ktorá sa stanovuje za kalendárne mesiace.</w:t>
      </w:r>
    </w:p>
    <w:p w14:paraId="2315658B" w14:textId="7DB4441D" w:rsidR="003E3DEF" w:rsidRPr="00AB5632" w:rsidRDefault="003E3DEF" w:rsidP="003E3DEF">
      <w:pPr>
        <w:pStyle w:val="Zoznam5"/>
      </w:pPr>
      <w:r w:rsidRPr="00AB5632">
        <w:t>Pre výpočet Preddavkovej ceny sa použije hodnota Indexu DT za druhý mesiac predchádzajúci mesiacu, za ktorý sa Preddavok platí (napr. pre výpočet Preddavku za mesiac január 202</w:t>
      </w:r>
      <w:r>
        <w:t>5</w:t>
      </w:r>
      <w:r w:rsidRPr="00AB5632">
        <w:t xml:space="preserve"> sa použije Index DT za mesiac november 202</w:t>
      </w:r>
      <w:r w:rsidR="00CF1C61">
        <w:t>4</w:t>
      </w:r>
      <w:r w:rsidRPr="00AB5632">
        <w:t>).</w:t>
      </w:r>
    </w:p>
    <w:p w14:paraId="06E548B6" w14:textId="77777777" w:rsidR="003E3DEF" w:rsidRPr="00AB5632" w:rsidRDefault="003E3DEF" w:rsidP="003E3DEF">
      <w:pPr>
        <w:pStyle w:val="Zoznam5"/>
      </w:pPr>
      <w:r w:rsidRPr="00AB5632">
        <w:t>Pre účely výpočtu Preddavkov sa použijú Ceny za regulované služby, sadzby spotrebnej dane a DPH (</w:t>
      </w:r>
      <w:proofErr w:type="spellStart"/>
      <w:r w:rsidRPr="00AB5632">
        <w:t>t.j</w:t>
      </w:r>
      <w:proofErr w:type="spellEnd"/>
      <w:r w:rsidRPr="00AB5632">
        <w:t xml:space="preserve">. zložky ceny podľa článku </w:t>
      </w:r>
      <w:r w:rsidRPr="00AB5632">
        <w:fldChar w:fldCharType="begin"/>
      </w:r>
      <w:r w:rsidRPr="00AB5632">
        <w:instrText xml:space="preserve"> REF _Ref115333148 \r \h </w:instrText>
      </w:r>
      <w:r>
        <w:instrText xml:space="preserve"> \* MERGEFORMAT </w:instrText>
      </w:r>
      <w:r w:rsidRPr="00AB5632">
        <w:fldChar w:fldCharType="separate"/>
      </w:r>
      <w:r w:rsidRPr="00AB5632">
        <w:t>4.2</w:t>
      </w:r>
      <w:r w:rsidRPr="00AB5632">
        <w:fldChar w:fldCharType="end"/>
      </w:r>
      <w:r w:rsidRPr="00AB5632">
        <w:t>. tejto Zmluvy, ďalej len „</w:t>
      </w:r>
      <w:r w:rsidRPr="00AB5632">
        <w:rPr>
          <w:b/>
          <w:bCs/>
        </w:rPr>
        <w:t>Ostatné ceny</w:t>
      </w:r>
      <w:r w:rsidRPr="00AB5632">
        <w:t>") platné ku dňu podpisu Zmluvy.</w:t>
      </w:r>
    </w:p>
    <w:p w14:paraId="25231EF9" w14:textId="77777777" w:rsidR="003E3DEF" w:rsidRPr="00AB5632" w:rsidRDefault="003E3DEF" w:rsidP="003E3DEF">
      <w:pPr>
        <w:pStyle w:val="Zoznam5"/>
      </w:pPr>
      <w:bookmarkStart w:id="31" w:name="_Ref115342184"/>
      <w:r w:rsidRPr="00AB5632">
        <w:t>V prípade, že dôjde k zmene niektorej ceny z kategórie Ostatných cien, môže Poskytovateľ alebo Objednávateľ požiadať o úpravu výšky Preddavkov zohľadňujúce tieto zmeny, najviac však dva krát počas Zmluvného obdobia.</w:t>
      </w:r>
      <w:bookmarkEnd w:id="31"/>
    </w:p>
    <w:p w14:paraId="4F67FA6B" w14:textId="77777777" w:rsidR="003E3DEF" w:rsidRPr="00AB5632" w:rsidRDefault="003E3DEF" w:rsidP="003E3DEF">
      <w:pPr>
        <w:pStyle w:val="Zoznam5"/>
      </w:pPr>
      <w:r w:rsidRPr="00AB5632">
        <w:t>Platby Preddavkov sa budú uskutočňovať na základe vystavených zálohových faktúr, pričom sa nejedná o faktúry podľa čl. 4 Zmluvy</w:t>
      </w:r>
      <w:r w:rsidRPr="00AB5632">
        <w:rPr>
          <w:sz w:val="20"/>
        </w:rPr>
        <w:t>.</w:t>
      </w:r>
    </w:p>
    <w:p w14:paraId="62FEAB0B" w14:textId="77777777" w:rsidR="003E3DEF" w:rsidRPr="00AB5632" w:rsidRDefault="003E3DEF" w:rsidP="003E3DEF">
      <w:pPr>
        <w:pStyle w:val="Zoznam5"/>
      </w:pPr>
      <w:bookmarkStart w:id="32" w:name="_Ref134176902"/>
      <w:r w:rsidRPr="00AB5632">
        <w:t>Splatnosť Preddavkov je 15. dní od doručenia zálohovej faktúry, ktorú je Poskytovateľ oprávnený doručiť najskôr 1. dňa kalendárneho mesiaca, za ktorý sa Preddavok platí (napr. zálohovú faktúru za mesiac február je Poskytovateľ oprávnený doručiť najskôr 1. februára).</w:t>
      </w:r>
      <w:bookmarkEnd w:id="32"/>
    </w:p>
    <w:bookmarkEnd w:id="27"/>
    <w:p w14:paraId="6B8971E0" w14:textId="77777777" w:rsidR="003E3DEF" w:rsidRPr="00AB5632" w:rsidRDefault="003E3DEF" w:rsidP="003E3DEF">
      <w:pPr>
        <w:pStyle w:val="Zoznam5"/>
        <w:numPr>
          <w:ilvl w:val="0"/>
          <w:numId w:val="0"/>
        </w:numPr>
        <w:ind w:left="567"/>
      </w:pPr>
    </w:p>
    <w:tbl>
      <w:tblPr>
        <w:tblStyle w:val="Mriekatabuky"/>
        <w:tblW w:w="6091" w:type="dxa"/>
        <w:jc w:val="center"/>
        <w:tblLayout w:type="fixed"/>
        <w:tblLook w:val="04A0" w:firstRow="1" w:lastRow="0" w:firstColumn="1" w:lastColumn="0" w:noHBand="0" w:noVBand="1"/>
      </w:tblPr>
      <w:tblGrid>
        <w:gridCol w:w="2405"/>
        <w:gridCol w:w="1701"/>
        <w:gridCol w:w="1985"/>
      </w:tblGrid>
      <w:tr w:rsidR="003E3DEF" w:rsidRPr="00AB5632" w14:paraId="48BEDB1F" w14:textId="77777777" w:rsidTr="00626352">
        <w:trPr>
          <w:jc w:val="center"/>
        </w:trPr>
        <w:tc>
          <w:tcPr>
            <w:tcW w:w="2405" w:type="dxa"/>
            <w:shd w:val="clear" w:color="auto" w:fill="F2F2F2" w:themeFill="background1" w:themeFillShade="F2"/>
            <w:noWrap/>
            <w:vAlign w:val="center"/>
            <w:hideMark/>
          </w:tcPr>
          <w:p w14:paraId="12E28900" w14:textId="77777777" w:rsidR="003E3DEF" w:rsidRPr="00AB5632" w:rsidRDefault="003E3DEF" w:rsidP="00626352">
            <w:pPr>
              <w:pStyle w:val="Zhlavie10"/>
              <w:spacing w:after="0"/>
              <w:rPr>
                <w:lang w:eastAsia="en-GB"/>
              </w:rPr>
            </w:pPr>
            <w:r w:rsidRPr="00AB5632">
              <w:br w:type="page"/>
            </w:r>
          </w:p>
          <w:p w14:paraId="17AE8AC3" w14:textId="77777777" w:rsidR="003E3DEF" w:rsidRPr="00AB5632" w:rsidRDefault="003E3DEF" w:rsidP="00626352">
            <w:pPr>
              <w:pStyle w:val="Zhlavie10"/>
              <w:rPr>
                <w:b w:val="0"/>
                <w:bCs w:val="0"/>
                <w:lang w:eastAsia="en-GB"/>
              </w:rPr>
            </w:pPr>
            <w:r w:rsidRPr="00AB5632">
              <w:rPr>
                <w:b w:val="0"/>
                <w:bCs w:val="0"/>
                <w:lang w:eastAsia="en-GB"/>
              </w:rPr>
              <w:t>Odbern</w:t>
            </w:r>
            <w:r>
              <w:rPr>
                <w:b w:val="0"/>
                <w:bCs w:val="0"/>
                <w:lang w:eastAsia="en-GB"/>
              </w:rPr>
              <w:t>é</w:t>
            </w:r>
            <w:r w:rsidRPr="00AB5632">
              <w:rPr>
                <w:b w:val="0"/>
                <w:bCs w:val="0"/>
                <w:lang w:eastAsia="en-GB"/>
              </w:rPr>
              <w:t xml:space="preserve"> miest</w:t>
            </w:r>
            <w:r>
              <w:rPr>
                <w:b w:val="0"/>
                <w:bCs w:val="0"/>
                <w:lang w:eastAsia="en-GB"/>
              </w:rPr>
              <w:t>o</w:t>
            </w:r>
          </w:p>
        </w:tc>
        <w:tc>
          <w:tcPr>
            <w:tcW w:w="1701" w:type="dxa"/>
            <w:shd w:val="clear" w:color="auto" w:fill="F2F2F2" w:themeFill="background1" w:themeFillShade="F2"/>
            <w:noWrap/>
            <w:vAlign w:val="center"/>
            <w:hideMark/>
          </w:tcPr>
          <w:p w14:paraId="1E0E1270" w14:textId="77777777" w:rsidR="003E3DEF" w:rsidRPr="00AB5632" w:rsidRDefault="003E3DEF" w:rsidP="00626352">
            <w:pPr>
              <w:pStyle w:val="Zhlavie10"/>
              <w:spacing w:after="0"/>
              <w:rPr>
                <w:lang w:eastAsia="en-GB"/>
              </w:rPr>
            </w:pPr>
            <w:r w:rsidRPr="00AB5632">
              <w:rPr>
                <w:lang w:eastAsia="en-GB"/>
              </w:rPr>
              <w:t>Predpokladaný odber</w:t>
            </w:r>
          </w:p>
          <w:p w14:paraId="1CE623FD" w14:textId="77777777" w:rsidR="003E3DEF" w:rsidRPr="00AB5632" w:rsidRDefault="003E3DEF" w:rsidP="00626352">
            <w:pPr>
              <w:pStyle w:val="Zhlavie10"/>
              <w:rPr>
                <w:lang w:eastAsia="en-GB"/>
              </w:rPr>
            </w:pPr>
            <w:r w:rsidRPr="00AB5632">
              <w:rPr>
                <w:lang w:eastAsia="en-GB"/>
              </w:rPr>
              <w:t>(MWh)</w:t>
            </w:r>
          </w:p>
        </w:tc>
        <w:tc>
          <w:tcPr>
            <w:tcW w:w="1985" w:type="dxa"/>
            <w:shd w:val="clear" w:color="auto" w:fill="F2F2F2" w:themeFill="background1" w:themeFillShade="F2"/>
            <w:noWrap/>
            <w:vAlign w:val="center"/>
            <w:hideMark/>
          </w:tcPr>
          <w:p w14:paraId="43FF5775" w14:textId="77777777" w:rsidR="003E3DEF" w:rsidRPr="00AB5632" w:rsidRDefault="003E3DEF" w:rsidP="00626352">
            <w:pPr>
              <w:pStyle w:val="Zhlavie10"/>
              <w:spacing w:after="0"/>
              <w:rPr>
                <w:lang w:eastAsia="en-GB"/>
              </w:rPr>
            </w:pPr>
            <w:r w:rsidRPr="00AB5632">
              <w:rPr>
                <w:lang w:eastAsia="en-GB"/>
              </w:rPr>
              <w:t>6,70% Predpokladaného odberu</w:t>
            </w:r>
          </w:p>
          <w:p w14:paraId="35CB0656" w14:textId="77777777" w:rsidR="003E3DEF" w:rsidRPr="00AB5632" w:rsidRDefault="003E3DEF" w:rsidP="00626352">
            <w:pPr>
              <w:pStyle w:val="Zhlavie10"/>
              <w:rPr>
                <w:lang w:eastAsia="en-GB"/>
              </w:rPr>
            </w:pPr>
            <w:r w:rsidRPr="00AB5632">
              <w:rPr>
                <w:lang w:eastAsia="en-GB"/>
              </w:rPr>
              <w:t>(MWh)</w:t>
            </w:r>
          </w:p>
        </w:tc>
      </w:tr>
      <w:tr w:rsidR="003E3DEF" w:rsidRPr="00AB5632" w14:paraId="36147C52" w14:textId="77777777" w:rsidTr="00626352">
        <w:trPr>
          <w:jc w:val="center"/>
        </w:trPr>
        <w:tc>
          <w:tcPr>
            <w:tcW w:w="2405" w:type="dxa"/>
            <w:noWrap/>
            <w:hideMark/>
          </w:tcPr>
          <w:p w14:paraId="5CE911D9" w14:textId="77777777" w:rsidR="003E3DEF" w:rsidRPr="00AB5632" w:rsidRDefault="003E3DEF" w:rsidP="00626352">
            <w:pPr>
              <w:pStyle w:val="Table"/>
            </w:pPr>
            <w:r w:rsidRPr="00B341DA">
              <w:t>Kúpeľno-rehabilitačný ústav Ministerstva vnútra SR Bystrá</w:t>
            </w:r>
          </w:p>
        </w:tc>
        <w:tc>
          <w:tcPr>
            <w:tcW w:w="1701" w:type="dxa"/>
            <w:noWrap/>
            <w:vAlign w:val="center"/>
            <w:hideMark/>
          </w:tcPr>
          <w:p w14:paraId="745E86A6" w14:textId="3953C1A5" w:rsidR="003E3DEF" w:rsidRPr="00AB5632" w:rsidRDefault="003E3DEF" w:rsidP="00626352">
            <w:pPr>
              <w:pStyle w:val="Table"/>
              <w:ind w:right="178"/>
              <w:jc w:val="right"/>
            </w:pPr>
            <w:r>
              <w:t>3</w:t>
            </w:r>
            <w:r w:rsidR="00D46FB4">
              <w:t>4</w:t>
            </w:r>
            <w:r>
              <w:t>0</w:t>
            </w:r>
          </w:p>
        </w:tc>
        <w:tc>
          <w:tcPr>
            <w:tcW w:w="1985" w:type="dxa"/>
            <w:noWrap/>
            <w:vAlign w:val="center"/>
            <w:hideMark/>
          </w:tcPr>
          <w:p w14:paraId="69607FD2" w14:textId="507FC716" w:rsidR="003E3DEF" w:rsidRPr="00AB5632" w:rsidRDefault="00D46FB4" w:rsidP="00626352">
            <w:pPr>
              <w:pStyle w:val="Table"/>
              <w:jc w:val="center"/>
            </w:pPr>
            <w:r>
              <w:t>22,78</w:t>
            </w:r>
          </w:p>
        </w:tc>
      </w:tr>
      <w:tr w:rsidR="003E3DEF" w:rsidRPr="00AB5632" w14:paraId="4B18F910" w14:textId="77777777" w:rsidTr="00D46FB4">
        <w:trPr>
          <w:trHeight w:val="58"/>
          <w:jc w:val="center"/>
        </w:trPr>
        <w:tc>
          <w:tcPr>
            <w:tcW w:w="2405" w:type="dxa"/>
            <w:noWrap/>
            <w:hideMark/>
          </w:tcPr>
          <w:p w14:paraId="4AF2383F" w14:textId="77777777" w:rsidR="003E3DEF" w:rsidRPr="00AB5632" w:rsidRDefault="003E3DEF" w:rsidP="00626352">
            <w:pPr>
              <w:pStyle w:val="Table"/>
              <w:rPr>
                <w:b/>
                <w:bCs/>
              </w:rPr>
            </w:pPr>
            <w:r w:rsidRPr="00AB5632">
              <w:rPr>
                <w:b/>
                <w:bCs/>
              </w:rPr>
              <w:t>Spolu</w:t>
            </w:r>
          </w:p>
        </w:tc>
        <w:tc>
          <w:tcPr>
            <w:tcW w:w="1701" w:type="dxa"/>
            <w:noWrap/>
            <w:vAlign w:val="center"/>
            <w:hideMark/>
          </w:tcPr>
          <w:p w14:paraId="4964964A" w14:textId="634475EE" w:rsidR="003E3DEF" w:rsidRPr="00AB5632" w:rsidRDefault="003E3DEF" w:rsidP="00626352">
            <w:pPr>
              <w:pStyle w:val="Table"/>
              <w:ind w:right="178"/>
              <w:jc w:val="right"/>
              <w:rPr>
                <w:b/>
                <w:bCs/>
              </w:rPr>
            </w:pPr>
            <w:r>
              <w:rPr>
                <w:b/>
                <w:bCs/>
              </w:rPr>
              <w:t>3</w:t>
            </w:r>
            <w:r w:rsidR="00D46FB4">
              <w:rPr>
                <w:b/>
                <w:bCs/>
              </w:rPr>
              <w:t>4</w:t>
            </w:r>
            <w:r>
              <w:rPr>
                <w:b/>
                <w:bCs/>
              </w:rPr>
              <w:t>0</w:t>
            </w:r>
          </w:p>
        </w:tc>
        <w:tc>
          <w:tcPr>
            <w:tcW w:w="1985" w:type="dxa"/>
            <w:noWrap/>
            <w:vAlign w:val="center"/>
            <w:hideMark/>
          </w:tcPr>
          <w:p w14:paraId="32E660B6" w14:textId="0E50C534" w:rsidR="003E3DEF" w:rsidRPr="00AB5632" w:rsidRDefault="00D46FB4" w:rsidP="00D46FB4">
            <w:pPr>
              <w:pStyle w:val="Table"/>
              <w:ind w:left="181" w:right="178"/>
              <w:jc w:val="center"/>
              <w:rPr>
                <w:b/>
                <w:bCs/>
              </w:rPr>
            </w:pPr>
            <w:r>
              <w:t>22,78</w:t>
            </w:r>
          </w:p>
        </w:tc>
      </w:tr>
    </w:tbl>
    <w:p w14:paraId="1817B794" w14:textId="77777777" w:rsidR="003E3DEF" w:rsidRPr="00AB5632" w:rsidRDefault="003E3DEF" w:rsidP="003E3DEF">
      <w:pPr>
        <w:rPr>
          <w:rFonts w:eastAsia="Calibri"/>
        </w:rPr>
      </w:pPr>
    </w:p>
    <w:p w14:paraId="60EA574B" w14:textId="77777777" w:rsidR="003E3DEF" w:rsidRPr="003E3DEF" w:rsidRDefault="003E3DEF" w:rsidP="003E3DEF">
      <w:pPr>
        <w:rPr>
          <w:rFonts w:ascii="Arial Narrow" w:eastAsia="Times New Roman" w:hAnsi="Arial Narrow" w:cs="Times New Roman"/>
          <w:lang w:eastAsia="cs-CZ" w:bidi="cs-CZ"/>
        </w:rPr>
      </w:pPr>
      <w:r w:rsidRPr="003E3DEF">
        <w:rPr>
          <w:rFonts w:ascii="Arial Narrow" w:eastAsia="Times New Roman" w:hAnsi="Arial Narrow" w:cs="Times New Roman"/>
          <w:lang w:eastAsia="cs-CZ" w:bidi="cs-CZ"/>
        </w:rPr>
        <w:t xml:space="preserve">V Bratislave, dňa     </w:t>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t xml:space="preserve">V Bratislave, dňa </w:t>
      </w:r>
    </w:p>
    <w:p w14:paraId="1923D0BC" w14:textId="77777777" w:rsidR="003E3DEF" w:rsidRPr="003E3DEF" w:rsidRDefault="003E3DEF" w:rsidP="003E3DEF">
      <w:pPr>
        <w:rPr>
          <w:rFonts w:ascii="Arial Narrow" w:eastAsia="Times New Roman" w:hAnsi="Arial Narrow" w:cs="Times New Roman"/>
          <w:lang w:eastAsia="cs-CZ" w:bidi="cs-CZ"/>
        </w:rPr>
      </w:pPr>
      <w:r w:rsidRPr="003E3DEF">
        <w:rPr>
          <w:rFonts w:ascii="Arial Narrow" w:eastAsia="Times New Roman" w:hAnsi="Arial Narrow" w:cs="Times New Roman"/>
          <w:lang w:eastAsia="cs-CZ" w:bidi="cs-CZ"/>
        </w:rPr>
        <w:t>V mene Objednávateľa</w:t>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t>V mene Poskytovateľa</w:t>
      </w:r>
    </w:p>
    <w:p w14:paraId="0E0B72C6" w14:textId="77777777" w:rsidR="003E3DEF" w:rsidRPr="003E3DEF" w:rsidRDefault="003E3DEF" w:rsidP="003E3DEF">
      <w:pPr>
        <w:rPr>
          <w:rFonts w:ascii="Arial Narrow" w:eastAsia="Times New Roman" w:hAnsi="Arial Narrow" w:cs="Times New Roman"/>
          <w:lang w:eastAsia="cs-CZ" w:bidi="cs-CZ"/>
        </w:rPr>
      </w:pPr>
    </w:p>
    <w:p w14:paraId="2684E01C" w14:textId="77777777" w:rsidR="003E3DEF" w:rsidRPr="003E3DEF" w:rsidRDefault="003E3DEF" w:rsidP="003E3DEF">
      <w:pPr>
        <w:rPr>
          <w:rFonts w:ascii="Arial Narrow" w:eastAsia="Times New Roman" w:hAnsi="Arial Narrow" w:cs="Times New Roman"/>
          <w:lang w:eastAsia="cs-CZ" w:bidi="cs-CZ"/>
        </w:rPr>
      </w:pPr>
    </w:p>
    <w:p w14:paraId="52964BA4" w14:textId="77777777" w:rsidR="003E3DEF" w:rsidRPr="003E3DEF" w:rsidRDefault="003E3DEF" w:rsidP="003E3DEF">
      <w:pPr>
        <w:rPr>
          <w:rFonts w:ascii="Arial Narrow" w:eastAsia="Times New Roman" w:hAnsi="Arial Narrow" w:cs="Times New Roman"/>
          <w:lang w:eastAsia="cs-CZ" w:bidi="cs-CZ"/>
        </w:rPr>
      </w:pPr>
      <w:r w:rsidRPr="003E3DEF">
        <w:rPr>
          <w:rFonts w:ascii="Arial Narrow" w:eastAsia="Times New Roman" w:hAnsi="Arial Narrow" w:cs="Times New Roman"/>
          <w:lang w:eastAsia="cs-CZ" w:bidi="cs-CZ"/>
        </w:rPr>
        <w:t>____________________________________</w:t>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t>_________________________________</w:t>
      </w:r>
    </w:p>
    <w:p w14:paraId="6AE0B8A1" w14:textId="77777777" w:rsidR="003E3DEF" w:rsidRPr="003E3DEF" w:rsidRDefault="003E3DEF" w:rsidP="003E3DEF">
      <w:pPr>
        <w:rPr>
          <w:rFonts w:ascii="Arial Narrow" w:eastAsia="Times New Roman" w:hAnsi="Arial Narrow" w:cs="Times New Roman"/>
          <w:lang w:eastAsia="cs-CZ" w:bidi="cs-CZ"/>
        </w:rPr>
      </w:pPr>
      <w:r w:rsidRPr="003E3DEF">
        <w:rPr>
          <w:rFonts w:ascii="Arial Narrow" w:eastAsia="Times New Roman" w:hAnsi="Arial Narrow" w:cs="Times New Roman"/>
          <w:highlight w:val="yellow"/>
          <w:lang w:eastAsia="cs-CZ" w:bidi="cs-CZ"/>
        </w:rPr>
        <w:t>[ • ]</w:t>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lang w:eastAsia="cs-CZ" w:bidi="cs-CZ"/>
        </w:rPr>
        <w:tab/>
      </w:r>
      <w:r w:rsidRPr="003E3DEF">
        <w:rPr>
          <w:rFonts w:ascii="Arial Narrow" w:eastAsia="Times New Roman" w:hAnsi="Arial Narrow" w:cs="Times New Roman"/>
          <w:highlight w:val="yellow"/>
          <w:lang w:eastAsia="cs-CZ" w:bidi="cs-CZ"/>
        </w:rPr>
        <w:t>[ • ]</w:t>
      </w:r>
    </w:p>
    <w:p w14:paraId="007A8598" w14:textId="77777777" w:rsidR="003E3DEF" w:rsidRPr="003E3DEF" w:rsidRDefault="003E3DEF" w:rsidP="00570382">
      <w:pPr>
        <w:spacing w:after="0" w:line="240" w:lineRule="auto"/>
        <w:jc w:val="center"/>
        <w:rPr>
          <w:rFonts w:ascii="Arial Narrow" w:eastAsia="Times New Roman" w:hAnsi="Arial Narrow" w:cs="Times New Roman"/>
          <w:lang w:eastAsia="cs-CZ" w:bidi="cs-CZ"/>
        </w:rPr>
      </w:pPr>
    </w:p>
    <w:sectPr w:rsidR="003E3DEF" w:rsidRPr="003E3DEF" w:rsidSect="00C2622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D349" w14:textId="77777777" w:rsidR="0031591F" w:rsidRDefault="0031591F" w:rsidP="002B256F">
      <w:pPr>
        <w:spacing w:after="0" w:line="240" w:lineRule="auto"/>
      </w:pPr>
      <w:r>
        <w:separator/>
      </w:r>
    </w:p>
  </w:endnote>
  <w:endnote w:type="continuationSeparator" w:id="0">
    <w:p w14:paraId="797D0551" w14:textId="77777777" w:rsidR="0031591F" w:rsidRDefault="0031591F"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8956"/>
      <w:docPartObj>
        <w:docPartGallery w:val="Page Numbers (Bottom of Page)"/>
        <w:docPartUnique/>
      </w:docPartObj>
    </w:sdtPr>
    <w:sdtEndPr>
      <w:rPr>
        <w:rFonts w:ascii="Arial Narrow" w:hAnsi="Arial Narrow"/>
        <w:sz w:val="20"/>
        <w:szCs w:val="20"/>
      </w:rPr>
    </w:sdtEndPr>
    <w:sdtContent>
      <w:p w14:paraId="71C06044" w14:textId="5B371F8F"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C02893">
          <w:rPr>
            <w:rFonts w:ascii="Arial Narrow" w:hAnsi="Arial Narrow"/>
            <w:noProof/>
            <w:sz w:val="20"/>
            <w:szCs w:val="20"/>
          </w:rPr>
          <w:t>11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9587" w14:textId="77777777" w:rsidR="0031591F" w:rsidRDefault="0031591F" w:rsidP="002B256F">
      <w:pPr>
        <w:spacing w:after="0" w:line="240" w:lineRule="auto"/>
      </w:pPr>
      <w:r>
        <w:separator/>
      </w:r>
    </w:p>
  </w:footnote>
  <w:footnote w:type="continuationSeparator" w:id="0">
    <w:p w14:paraId="0330330C" w14:textId="77777777" w:rsidR="0031591F" w:rsidRDefault="0031591F" w:rsidP="002B2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0A07EF3"/>
    <w:multiLevelType w:val="multilevel"/>
    <w:tmpl w:val="454E42CE"/>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A225F42"/>
    <w:multiLevelType w:val="multilevel"/>
    <w:tmpl w:val="728259F2"/>
    <w:lvl w:ilvl="0">
      <w:start w:val="1"/>
      <w:numFmt w:val="decimal"/>
      <w:lvlText w:val="4.%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4.%3.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5D660EB"/>
    <w:multiLevelType w:val="multilevel"/>
    <w:tmpl w:val="E0607094"/>
    <w:lvl w:ilvl="0">
      <w:start w:val="4"/>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DE37F4"/>
    <w:multiLevelType w:val="multilevel"/>
    <w:tmpl w:val="6E869FC0"/>
    <w:styleLink w:val="CurrentList20"/>
    <w:lvl w:ilvl="0">
      <w:start w:val="1"/>
      <w:numFmt w:val="decimal"/>
      <w:pStyle w:val="Zoznamsodrkami5"/>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1C2F0F"/>
    <w:multiLevelType w:val="multilevel"/>
    <w:tmpl w:val="32B0DB02"/>
    <w:lvl w:ilvl="0">
      <w:start w:val="2"/>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CA02744"/>
    <w:multiLevelType w:val="hybridMultilevel"/>
    <w:tmpl w:val="6C2C70E6"/>
    <w:lvl w:ilvl="0" w:tplc="8EDC39DE">
      <w:start w:val="3"/>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31"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FB3C11"/>
    <w:multiLevelType w:val="multilevel"/>
    <w:tmpl w:val="FA24C090"/>
    <w:lvl w:ilvl="0">
      <w:start w:val="2"/>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C16335"/>
    <w:multiLevelType w:val="multilevel"/>
    <w:tmpl w:val="343EBA9A"/>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3"/>
  </w:num>
  <w:num w:numId="3">
    <w:abstractNumId w:val="13"/>
  </w:num>
  <w:num w:numId="4">
    <w:abstractNumId w:val="12"/>
  </w:num>
  <w:num w:numId="5">
    <w:abstractNumId w:val="36"/>
  </w:num>
  <w:num w:numId="6">
    <w:abstractNumId w:val="10"/>
  </w:num>
  <w:num w:numId="7">
    <w:abstractNumId w:val="28"/>
  </w:num>
  <w:num w:numId="8">
    <w:abstractNumId w:val="24"/>
  </w:num>
  <w:num w:numId="9">
    <w:abstractNumId w:val="2"/>
  </w:num>
  <w:num w:numId="10">
    <w:abstractNumId w:val="25"/>
  </w:num>
  <w:num w:numId="11">
    <w:abstractNumId w:val="23"/>
  </w:num>
  <w:num w:numId="12">
    <w:abstractNumId w:val="34"/>
  </w:num>
  <w:num w:numId="13">
    <w:abstractNumId w:val="18"/>
  </w:num>
  <w:num w:numId="14">
    <w:abstractNumId w:val="32"/>
  </w:num>
  <w:num w:numId="15">
    <w:abstractNumId w:val="7"/>
  </w:num>
  <w:num w:numId="16">
    <w:abstractNumId w:val="19"/>
  </w:num>
  <w:num w:numId="17">
    <w:abstractNumId w:val="27"/>
  </w:num>
  <w:num w:numId="18">
    <w:abstractNumId w:val="30"/>
  </w:num>
  <w:num w:numId="19">
    <w:abstractNumId w:val="15"/>
  </w:num>
  <w:num w:numId="20">
    <w:abstractNumId w:val="29"/>
  </w:num>
  <w:num w:numId="21">
    <w:abstractNumId w:val="8"/>
  </w:num>
  <w:num w:numId="22">
    <w:abstractNumId w:val="4"/>
  </w:num>
  <w:num w:numId="23">
    <w:abstractNumId w:val="6"/>
  </w:num>
  <w:num w:numId="24">
    <w:abstractNumId w:val="9"/>
  </w:num>
  <w:num w:numId="25">
    <w:abstractNumId w:val="20"/>
  </w:num>
  <w:num w:numId="26">
    <w:abstractNumId w:val="35"/>
  </w:num>
  <w:num w:numId="27">
    <w:abstractNumId w:val="5"/>
  </w:num>
  <w:num w:numId="28">
    <w:abstractNumId w:val="0"/>
  </w:num>
  <w:num w:numId="29">
    <w:abstractNumId w:val="17"/>
  </w:num>
  <w:num w:numId="30">
    <w:abstractNumId w:val="2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7"/>
  </w:num>
  <w:num w:numId="34">
    <w:abstractNumId w:val="33"/>
  </w:num>
  <w:num w:numId="35">
    <w:abstractNumId w:val="21"/>
  </w:num>
  <w:num w:numId="36">
    <w:abstractNumId w:val="31"/>
  </w:num>
  <w:num w:numId="37">
    <w:abstractNumId w:val="1"/>
  </w:num>
  <w:num w:numId="38">
    <w:abstractNumId w:val="1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7B"/>
    <w:rsid w:val="0004092B"/>
    <w:rsid w:val="0009510B"/>
    <w:rsid w:val="000A5A72"/>
    <w:rsid w:val="000D5AF6"/>
    <w:rsid w:val="000E00BC"/>
    <w:rsid w:val="001224DA"/>
    <w:rsid w:val="0015407F"/>
    <w:rsid w:val="001F3866"/>
    <w:rsid w:val="002048A3"/>
    <w:rsid w:val="002150EF"/>
    <w:rsid w:val="0024289F"/>
    <w:rsid w:val="00281C0D"/>
    <w:rsid w:val="002848BB"/>
    <w:rsid w:val="002A467F"/>
    <w:rsid w:val="002B256F"/>
    <w:rsid w:val="002C6B2E"/>
    <w:rsid w:val="0031591F"/>
    <w:rsid w:val="003A6D63"/>
    <w:rsid w:val="003B1AD5"/>
    <w:rsid w:val="003E3DEF"/>
    <w:rsid w:val="0041283F"/>
    <w:rsid w:val="00416894"/>
    <w:rsid w:val="00430176"/>
    <w:rsid w:val="00432D8D"/>
    <w:rsid w:val="00446FF9"/>
    <w:rsid w:val="004B4123"/>
    <w:rsid w:val="005313BE"/>
    <w:rsid w:val="00547397"/>
    <w:rsid w:val="00570382"/>
    <w:rsid w:val="005B2210"/>
    <w:rsid w:val="005B78EC"/>
    <w:rsid w:val="005C021F"/>
    <w:rsid w:val="00617975"/>
    <w:rsid w:val="006420D6"/>
    <w:rsid w:val="00653A95"/>
    <w:rsid w:val="00683B20"/>
    <w:rsid w:val="006C054D"/>
    <w:rsid w:val="006C222D"/>
    <w:rsid w:val="006D76E7"/>
    <w:rsid w:val="006E025D"/>
    <w:rsid w:val="006E5065"/>
    <w:rsid w:val="006F7DE7"/>
    <w:rsid w:val="00736B01"/>
    <w:rsid w:val="0074564E"/>
    <w:rsid w:val="0074585B"/>
    <w:rsid w:val="00757A8D"/>
    <w:rsid w:val="007672D8"/>
    <w:rsid w:val="00784AFD"/>
    <w:rsid w:val="00784B3E"/>
    <w:rsid w:val="007946E7"/>
    <w:rsid w:val="00811679"/>
    <w:rsid w:val="00820F22"/>
    <w:rsid w:val="00827D67"/>
    <w:rsid w:val="00876C61"/>
    <w:rsid w:val="00882FB8"/>
    <w:rsid w:val="00894A34"/>
    <w:rsid w:val="008B0852"/>
    <w:rsid w:val="008F7C9D"/>
    <w:rsid w:val="00925D82"/>
    <w:rsid w:val="00964575"/>
    <w:rsid w:val="00984E6D"/>
    <w:rsid w:val="009A559D"/>
    <w:rsid w:val="009D15F6"/>
    <w:rsid w:val="00A1385A"/>
    <w:rsid w:val="00A21F40"/>
    <w:rsid w:val="00A42BE3"/>
    <w:rsid w:val="00A44A5B"/>
    <w:rsid w:val="00A45695"/>
    <w:rsid w:val="00AB5552"/>
    <w:rsid w:val="00AB7B30"/>
    <w:rsid w:val="00AF3241"/>
    <w:rsid w:val="00B35E30"/>
    <w:rsid w:val="00BD203C"/>
    <w:rsid w:val="00C02893"/>
    <w:rsid w:val="00C26222"/>
    <w:rsid w:val="00CB73DA"/>
    <w:rsid w:val="00CC21D2"/>
    <w:rsid w:val="00CD464D"/>
    <w:rsid w:val="00CF1C61"/>
    <w:rsid w:val="00D0367B"/>
    <w:rsid w:val="00D46FB4"/>
    <w:rsid w:val="00D65020"/>
    <w:rsid w:val="00D9432E"/>
    <w:rsid w:val="00DC0C55"/>
    <w:rsid w:val="00DD3317"/>
    <w:rsid w:val="00DE2048"/>
    <w:rsid w:val="00E21F64"/>
    <w:rsid w:val="00E82B17"/>
    <w:rsid w:val="00E846D5"/>
    <w:rsid w:val="00E86433"/>
    <w:rsid w:val="00EB4387"/>
    <w:rsid w:val="00EC2A20"/>
    <w:rsid w:val="00F25778"/>
    <w:rsid w:val="00F41034"/>
    <w:rsid w:val="00FB2243"/>
    <w:rsid w:val="00FF062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560DD8CF-7006-4BCD-95EF-0F818B0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Nevyrieenzmienka1">
    <w:name w:val="Nevyriešená zmienka1"/>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Zoznam4">
    <w:name w:val="List 4"/>
    <w:basedOn w:val="Zoznam2"/>
    <w:uiPriority w:val="99"/>
    <w:unhideWhenUsed/>
    <w:rsid w:val="0009510B"/>
    <w:pPr>
      <w:widowControl w:val="0"/>
      <w:numPr>
        <w:numId w:val="27"/>
      </w:numPr>
      <w:spacing w:before="240" w:after="120" w:line="240" w:lineRule="auto"/>
      <w:contextualSpacing w:val="0"/>
      <w:jc w:val="both"/>
    </w:pPr>
    <w:rPr>
      <w:rFonts w:ascii="Arial Narrow" w:eastAsia="Times New Roman" w:hAnsi="Arial Narrow" w:cs="Calibri (Body)"/>
      <w:b/>
      <w:szCs w:val="24"/>
      <w:lang w:eastAsia="en-GB"/>
    </w:rPr>
  </w:style>
  <w:style w:type="paragraph" w:customStyle="1" w:styleId="Vysvetlenie">
    <w:name w:val="Vysvetlenie"/>
    <w:basedOn w:val="Normlny"/>
    <w:uiPriority w:val="1"/>
    <w:qFormat/>
    <w:rsid w:val="0009510B"/>
    <w:pPr>
      <w:widowControl w:val="0"/>
      <w:pBdr>
        <w:top w:val="dotted" w:sz="4" w:space="10" w:color="auto"/>
        <w:left w:val="dotted" w:sz="4" w:space="10" w:color="auto"/>
        <w:bottom w:val="dotted" w:sz="4" w:space="10" w:color="auto"/>
        <w:right w:val="dotted" w:sz="4" w:space="10" w:color="auto"/>
      </w:pBdr>
      <w:shd w:val="pct10" w:color="auto" w:fill="auto"/>
      <w:autoSpaceDE w:val="0"/>
      <w:autoSpaceDN w:val="0"/>
      <w:spacing w:before="120" w:after="120" w:line="240" w:lineRule="auto"/>
      <w:ind w:left="567" w:right="521"/>
      <w:jc w:val="both"/>
    </w:pPr>
    <w:rPr>
      <w:rFonts w:ascii="Arial Narrow" w:eastAsia="Times New Roman" w:hAnsi="Arial Narrow" w:cs="Times New Roman"/>
      <w:i/>
      <w:iCs/>
      <w:sz w:val="20"/>
    </w:rPr>
  </w:style>
  <w:style w:type="paragraph" w:styleId="Zoznamsodrkami3">
    <w:name w:val="List Bullet 3"/>
    <w:basedOn w:val="Normlny"/>
    <w:uiPriority w:val="99"/>
    <w:unhideWhenUsed/>
    <w:rsid w:val="0009510B"/>
    <w:pPr>
      <w:widowControl w:val="0"/>
      <w:numPr>
        <w:numId w:val="28"/>
      </w:numPr>
      <w:autoSpaceDE w:val="0"/>
      <w:autoSpaceDN w:val="0"/>
      <w:spacing w:before="120" w:after="120" w:line="240" w:lineRule="auto"/>
      <w:ind w:left="454" w:hanging="170"/>
      <w:contextualSpacing/>
      <w:jc w:val="both"/>
    </w:pPr>
    <w:rPr>
      <w:rFonts w:ascii="Arial Narrow" w:eastAsia="Times New Roman" w:hAnsi="Arial Narrow" w:cs="Times New Roman"/>
      <w:sz w:val="16"/>
    </w:rPr>
  </w:style>
  <w:style w:type="paragraph" w:styleId="Zoznamsodrkami">
    <w:name w:val="List Bullet"/>
    <w:basedOn w:val="Zoznamsodrkami5"/>
    <w:uiPriority w:val="99"/>
    <w:unhideWhenUsed/>
    <w:qFormat/>
    <w:rsid w:val="0009510B"/>
    <w:pPr>
      <w:numPr>
        <w:ilvl w:val="2"/>
        <w:numId w:val="27"/>
      </w:numPr>
      <w:spacing w:before="120" w:after="120" w:line="240" w:lineRule="auto"/>
      <w:contextualSpacing w:val="0"/>
      <w:jc w:val="both"/>
    </w:pPr>
    <w:rPr>
      <w:rFonts w:ascii="Arial Narrow" w:eastAsia="Times New Roman" w:hAnsi="Arial Narrow" w:cs="Times New Roman"/>
      <w:lang w:eastAsia="cs-CZ" w:bidi="cs-CZ"/>
    </w:rPr>
  </w:style>
  <w:style w:type="paragraph" w:customStyle="1" w:styleId="Table">
    <w:name w:val="Table"/>
    <w:basedOn w:val="Normlny"/>
    <w:uiPriority w:val="1"/>
    <w:qFormat/>
    <w:rsid w:val="0009510B"/>
    <w:pPr>
      <w:widowControl w:val="0"/>
      <w:autoSpaceDE w:val="0"/>
      <w:autoSpaceDN w:val="0"/>
      <w:snapToGrid w:val="0"/>
      <w:spacing w:before="60" w:after="60" w:line="240" w:lineRule="auto"/>
    </w:pPr>
    <w:rPr>
      <w:rFonts w:ascii="Arial Narrow" w:eastAsia="PoloR" w:hAnsi="Arial Narrow" w:cs="Arial"/>
      <w:sz w:val="16"/>
      <w:szCs w:val="16"/>
    </w:rPr>
  </w:style>
  <w:style w:type="paragraph" w:styleId="Zoznamsodrkami2">
    <w:name w:val="List Bullet 2"/>
    <w:basedOn w:val="Odsekzoznamu"/>
    <w:uiPriority w:val="99"/>
    <w:unhideWhenUsed/>
    <w:rsid w:val="0009510B"/>
    <w:pPr>
      <w:numPr>
        <w:numId w:val="26"/>
      </w:numPr>
      <w:snapToGrid w:val="0"/>
      <w:spacing w:before="60" w:after="60" w:line="240" w:lineRule="auto"/>
      <w:ind w:left="358" w:hanging="284"/>
    </w:pPr>
    <w:rPr>
      <w:rFonts w:ascii="Arial Narrow" w:eastAsia="PoloR" w:hAnsi="Arial Narrow" w:cs="Arial"/>
      <w:sz w:val="16"/>
      <w:szCs w:val="16"/>
    </w:rPr>
  </w:style>
  <w:style w:type="character" w:styleId="Vrazn">
    <w:name w:val="Strong"/>
    <w:uiPriority w:val="22"/>
    <w:qFormat/>
    <w:rsid w:val="0009510B"/>
    <w:rPr>
      <w:rFonts w:ascii="Arial Narrow" w:hAnsi="Arial Narrow"/>
      <w:b/>
      <w:bCs/>
      <w:i w:val="0"/>
      <w:sz w:val="16"/>
    </w:rPr>
  </w:style>
  <w:style w:type="paragraph" w:styleId="Zoznam5">
    <w:name w:val="List 5"/>
    <w:basedOn w:val="Zoznamsodrkami"/>
    <w:uiPriority w:val="99"/>
    <w:unhideWhenUsed/>
    <w:rsid w:val="0009510B"/>
    <w:pPr>
      <w:numPr>
        <w:ilvl w:val="1"/>
      </w:numPr>
    </w:pPr>
  </w:style>
  <w:style w:type="paragraph" w:styleId="Zoznam2">
    <w:name w:val="List 2"/>
    <w:basedOn w:val="Normlny"/>
    <w:uiPriority w:val="99"/>
    <w:semiHidden/>
    <w:unhideWhenUsed/>
    <w:rsid w:val="0009510B"/>
    <w:pPr>
      <w:ind w:left="566" w:hanging="283"/>
      <w:contextualSpacing/>
    </w:pPr>
  </w:style>
  <w:style w:type="paragraph" w:styleId="Zoznamsodrkami5">
    <w:name w:val="List Bullet 5"/>
    <w:basedOn w:val="Normlny"/>
    <w:uiPriority w:val="99"/>
    <w:semiHidden/>
    <w:unhideWhenUsed/>
    <w:rsid w:val="0009510B"/>
    <w:pPr>
      <w:numPr>
        <w:numId w:val="29"/>
      </w:numPr>
      <w:contextualSpacing/>
    </w:pPr>
  </w:style>
  <w:style w:type="numbering" w:customStyle="1" w:styleId="CurrentList20">
    <w:name w:val="Current List20"/>
    <w:uiPriority w:val="99"/>
    <w:rsid w:val="003E3DEF"/>
    <w:pPr>
      <w:numPr>
        <w:numId w:val="29"/>
      </w:numPr>
    </w:pPr>
  </w:style>
  <w:style w:type="numbering" w:customStyle="1" w:styleId="CurrentList22">
    <w:name w:val="Current List22"/>
    <w:uiPriority w:val="99"/>
    <w:rsid w:val="003E3DEF"/>
    <w:pPr>
      <w:numPr>
        <w:numId w:val="30"/>
      </w:numPr>
    </w:pPr>
  </w:style>
  <w:style w:type="paragraph" w:styleId="Zoznam3">
    <w:name w:val="List 3"/>
    <w:basedOn w:val="Normlny"/>
    <w:uiPriority w:val="99"/>
    <w:unhideWhenUsed/>
    <w:rsid w:val="002C6B2E"/>
    <w:pPr>
      <w:ind w:left="849" w:hanging="283"/>
      <w:contextualSpacing/>
    </w:pPr>
  </w:style>
  <w:style w:type="numbering" w:customStyle="1" w:styleId="Zmluva2">
    <w:name w:val="Zmluva 2"/>
    <w:uiPriority w:val="99"/>
    <w:rsid w:val="002C6B2E"/>
    <w:pPr>
      <w:numPr>
        <w:numId w:val="36"/>
      </w:numPr>
    </w:pPr>
  </w:style>
  <w:style w:type="paragraph" w:customStyle="1" w:styleId="Documentreferrence">
    <w:name w:val="Document referrence"/>
    <w:basedOn w:val="Zoznam"/>
    <w:link w:val="DocumentreferrenceChar"/>
    <w:qFormat/>
    <w:rsid w:val="002C6B2E"/>
    <w:pPr>
      <w:widowControl w:val="0"/>
      <w:numPr>
        <w:numId w:val="37"/>
      </w:numPr>
      <w:shd w:val="pct10" w:color="auto" w:fill="auto"/>
      <w:spacing w:before="120" w:after="120" w:line="240" w:lineRule="auto"/>
      <w:ind w:left="567" w:hanging="567"/>
      <w:contextualSpacing w:val="0"/>
      <w:jc w:val="both"/>
    </w:pPr>
    <w:rPr>
      <w:rFonts w:ascii="Arial Narrow" w:eastAsia="Times New Roman" w:hAnsi="Arial Narrow"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2C6B2E"/>
    <w:rPr>
      <w:rFonts w:ascii="Arial Narrow" w:eastAsia="Times New Roman" w:hAnsi="Arial Narrow" w:cs="Calibri (Body)"/>
      <w:bCs/>
      <w:szCs w:val="24"/>
      <w:shd w:val="pct10" w:color="auto" w:fill="auto"/>
      <w:lang w:eastAsia="en-GB"/>
    </w:rPr>
  </w:style>
  <w:style w:type="paragraph" w:styleId="Zoznam">
    <w:name w:val="List"/>
    <w:basedOn w:val="Normlny"/>
    <w:uiPriority w:val="99"/>
    <w:semiHidden/>
    <w:unhideWhenUsed/>
    <w:rsid w:val="002C6B2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kte.sk" TargetMode="External"/><Relationship Id="rId4" Type="http://schemas.openxmlformats.org/officeDocument/2006/relationships/settings" Target="settings.xml"/><Relationship Id="rId9" Type="http://schemas.openxmlformats.org/officeDocument/2006/relationships/hyperlink" Target="https://www.okte.sk/sk/kratkodoby-trh/zverejnenie-udajov-dt/podrobny-prehlad-d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A420E-0E7E-4607-A386-A7233DC7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6389</Words>
  <Characters>36421</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Mihaldová</dc:creator>
  <cp:keywords/>
  <dc:description/>
  <cp:lastModifiedBy>Miroslava Mihaldová</cp:lastModifiedBy>
  <cp:revision>9</cp:revision>
  <cp:lastPrinted>2021-10-15T10:49:00Z</cp:lastPrinted>
  <dcterms:created xsi:type="dcterms:W3CDTF">2024-10-02T13:08:00Z</dcterms:created>
  <dcterms:modified xsi:type="dcterms:W3CDTF">2024-10-24T06:57:00Z</dcterms:modified>
</cp:coreProperties>
</file>