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1E3FE7B7" w:rsidR="0024289F" w:rsidRDefault="0024289F" w:rsidP="00570382">
      <w:pPr>
        <w:pStyle w:val="Odsekzoznamu"/>
        <w:numPr>
          <w:ilvl w:val="2"/>
          <w:numId w:val="12"/>
        </w:numPr>
        <w:spacing w:after="0" w:line="240" w:lineRule="auto"/>
        <w:ind w:left="1701" w:hanging="992"/>
        <w:jc w:val="both"/>
        <w:rPr>
          <w:rFonts w:ascii="Arial Narrow" w:hAnsi="Arial Narrow" w:cs="Times New Roman"/>
          <w:strike/>
          <w:color w:val="FF0000"/>
          <w:lang w:eastAsia="de-DE"/>
        </w:rPr>
      </w:pPr>
      <w:r w:rsidRPr="00DD0E83">
        <w:rPr>
          <w:rFonts w:ascii="Arial Narrow" w:hAnsi="Arial Narrow" w:cs="Times New Roman"/>
          <w:strike/>
          <w:color w:val="FF0000"/>
          <w:lang w:eastAsia="de-DE"/>
        </w:rPr>
        <w:t>poplatky za služby podľa cenníkov služieb príslušného PDS</w:t>
      </w:r>
      <w:r w:rsidR="00D837CF" w:rsidRPr="00DD0E83">
        <w:rPr>
          <w:rFonts w:ascii="Arial Narrow" w:hAnsi="Arial Narrow" w:cs="Times New Roman"/>
          <w:strike/>
          <w:color w:val="FF0000"/>
          <w:lang w:eastAsia="de-DE"/>
        </w:rPr>
        <w:t>, PPS</w:t>
      </w:r>
      <w:r w:rsidRPr="00DD0E83">
        <w:rPr>
          <w:rFonts w:ascii="Arial Narrow" w:hAnsi="Arial Narrow" w:cs="Times New Roman"/>
          <w:strike/>
          <w:color w:val="FF0000"/>
          <w:lang w:eastAsia="de-DE"/>
        </w:rPr>
        <w:t xml:space="preserve"> a Poskytovateľa platných v čase poskytnutia súvisiacej služby, ktoré sú zve</w:t>
      </w:r>
      <w:r w:rsidR="00D53BAA" w:rsidRPr="00DD0E83">
        <w:rPr>
          <w:rFonts w:ascii="Arial Narrow" w:hAnsi="Arial Narrow" w:cs="Times New Roman"/>
          <w:strike/>
          <w:color w:val="FF0000"/>
          <w:lang w:eastAsia="de-DE"/>
        </w:rPr>
        <w:t>rejnené na ich webových sídlach</w:t>
      </w:r>
    </w:p>
    <w:p w14:paraId="14A9287B" w14:textId="48EB61BF" w:rsidR="00DD0E83" w:rsidRPr="00DD0E83" w:rsidRDefault="00DD0E83"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DD0E83">
        <w:rPr>
          <w:rFonts w:ascii="Arial Narrow" w:hAnsi="Arial Narrow" w:cs="Times New Roman"/>
          <w:color w:val="000000" w:themeColor="text1"/>
          <w:lang w:eastAsia="de-DE"/>
        </w:rPr>
        <w:t>poplatky za služby podľa cenníkov služieb príslušného PDS</w:t>
      </w:r>
    </w:p>
    <w:p w14:paraId="2E859CAA" w14:textId="77777777"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DD0E83">
      <w:pPr>
        <w:pStyle w:val="Odsekzoznamu"/>
        <w:numPr>
          <w:ilvl w:val="1"/>
          <w:numId w:val="33"/>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DD0E83">
      <w:pPr>
        <w:pStyle w:val="Odsekzoznamu"/>
        <w:numPr>
          <w:ilvl w:val="1"/>
          <w:numId w:val="33"/>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DD0E83">
      <w:pPr>
        <w:pStyle w:val="Odsekzoznamu"/>
        <w:numPr>
          <w:ilvl w:val="1"/>
          <w:numId w:val="33"/>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066CB75A" w:rsidR="00B42043" w:rsidRPr="002B54EA"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8273CB">
        <w:rPr>
          <w:rFonts w:ascii="Arial Narrow" w:hAnsi="Arial Narrow" w:cs="Times New Roman"/>
        </w:rPr>
        <w:t>......................................................</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17243EDE"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8273CB">
        <w:rPr>
          <w:rFonts w:ascii="Arial Narrow" w:hAnsi="Arial Narrow"/>
          <w:u w:val="single"/>
        </w:rPr>
        <w:t xml:space="preserve"> 2</w:t>
      </w:r>
      <w:r w:rsidR="00E45CFD">
        <w:rPr>
          <w:rFonts w:ascii="Arial Narrow" w:hAnsi="Arial Narrow"/>
          <w:u w:val="single"/>
        </w:rPr>
        <w:t>/2025</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w:t>
      </w:r>
      <w:proofErr w:type="spellStart"/>
      <w:r w:rsidRPr="007079BC">
        <w:rPr>
          <w:rFonts w:ascii="Arial Narrow" w:hAnsi="Arial Narrow"/>
        </w:rPr>
        <w:t>zúčtovateľovi</w:t>
      </w:r>
      <w:proofErr w:type="spellEnd"/>
      <w:r w:rsidRPr="007079BC">
        <w:rPr>
          <w:rFonts w:ascii="Arial Narrow" w:hAnsi="Arial Narrow"/>
        </w:rPr>
        <w:t xml:space="preserve">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67174449"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334F9C">
        <w:rPr>
          <w:rFonts w:ascii="Arial Narrow" w:eastAsia="Arial Narrow" w:hAnsi="Arial Narrow" w:cs="Arial Narrow"/>
          <w:b/>
          <w:bCs/>
          <w:color w:val="000000"/>
          <w:lang w:eastAsia="cs-CZ" w:bidi="cs-CZ"/>
        </w:rPr>
        <w:t>................</w:t>
      </w:r>
      <w:r w:rsidRPr="00DD30ED">
        <w:rPr>
          <w:rFonts w:ascii="Arial Narrow" w:eastAsia="Arial Narrow" w:hAnsi="Arial Narrow" w:cs="Arial Narrow"/>
          <w:b/>
          <w:bCs/>
          <w:color w:val="000000"/>
          <w:lang w:eastAsia="cs-CZ" w:bidi="cs-CZ"/>
        </w:rPr>
        <w:t xml:space="preserve">00:00:00 hodiny do </w:t>
      </w:r>
      <w:r w:rsidR="00334F9C">
        <w:rPr>
          <w:rFonts w:ascii="Arial Narrow" w:eastAsia="Arial Narrow" w:hAnsi="Arial Narrow" w:cs="Arial Narrow"/>
          <w:b/>
          <w:bCs/>
          <w:color w:val="000000"/>
          <w:lang w:eastAsia="cs-CZ" w:bidi="cs-CZ"/>
        </w:rPr>
        <w:t>...............</w:t>
      </w:r>
      <w:r w:rsidRPr="00DD30ED">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w:t>
      </w:r>
      <w:proofErr w:type="spellStart"/>
      <w:r w:rsidRPr="002B54EA">
        <w:rPr>
          <w:rFonts w:ascii="Arial Narrow" w:eastAsia="Arial Narrow" w:hAnsi="Arial Narrow" w:cs="Arial Narrow"/>
          <w:color w:val="000000"/>
          <w:lang w:eastAsia="cs-CZ" w:bidi="cs-CZ"/>
        </w:rPr>
        <w:t>klientskú</w:t>
      </w:r>
      <w:proofErr w:type="spellEnd"/>
      <w:r w:rsidRPr="002B54EA">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Pr="00BE6771" w:rsidRDefault="00D837CF" w:rsidP="007079BC">
      <w:pPr>
        <w:pStyle w:val="Odsekzoznamu"/>
        <w:numPr>
          <w:ilvl w:val="0"/>
          <w:numId w:val="32"/>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Pr="00BE6771" w:rsidRDefault="007079BC" w:rsidP="007079BC">
      <w:pPr>
        <w:pStyle w:val="Odsekzoznamu"/>
        <w:ind w:left="567"/>
        <w:jc w:val="both"/>
        <w:rPr>
          <w:rFonts w:ascii="Arial Narrow" w:eastAsia="Calibri" w:hAnsi="Arial Narrow" w:cs="Times New Roman"/>
          <w:strike/>
          <w:color w:val="FF0000"/>
        </w:rPr>
      </w:pPr>
    </w:p>
    <w:p w14:paraId="00AE7A9D" w14:textId="77777777" w:rsidR="007079BC" w:rsidRPr="00BE6771" w:rsidRDefault="00D837CF" w:rsidP="007079BC">
      <w:pPr>
        <w:pStyle w:val="Odsekzoznamu"/>
        <w:numPr>
          <w:ilvl w:val="0"/>
          <w:numId w:val="32"/>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Cena za prepravu plynu pre účely tejto zmluvy je odvodená od ceny za prepravu plynu stanovenej pre zraniteľného odberateľa, ktorým je odberateľ plynu mimo domácnosti</w:t>
      </w:r>
      <w:r w:rsidRPr="00BE6771">
        <w:rPr>
          <w:strike/>
          <w:color w:val="FF0000"/>
          <w:vertAlign w:val="superscript"/>
        </w:rPr>
        <w:footnoteReference w:id="1"/>
      </w:r>
      <w:r w:rsidRPr="00BE6771">
        <w:rPr>
          <w:rFonts w:ascii="Arial Narrow" w:eastAsia="Calibri" w:hAnsi="Arial Narrow" w:cs="Times New Roman"/>
          <w:strike/>
          <w:color w:val="FF0000"/>
        </w:rPr>
        <w:t>, a to podľa cenníka Poskytovateľa platného v čase dodávky plynu (ďalej len „</w:t>
      </w:r>
      <w:r w:rsidRPr="00BE6771">
        <w:rPr>
          <w:rFonts w:ascii="Arial Narrow" w:eastAsia="Calibri" w:hAnsi="Arial Narrow" w:cs="Times New Roman"/>
          <w:b/>
          <w:bCs/>
          <w:strike/>
          <w:color w:val="FF0000"/>
        </w:rPr>
        <w:t>Regulovaná cena za prepravu plynu“</w:t>
      </w:r>
      <w:r w:rsidRPr="00BE6771">
        <w:rPr>
          <w:rFonts w:ascii="Arial Narrow" w:eastAsia="Calibri" w:hAnsi="Arial Narrow" w:cs="Times New Roman"/>
          <w:strike/>
          <w:color w:val="FF0000"/>
        </w:rPr>
        <w:t>).</w:t>
      </w:r>
    </w:p>
    <w:p w14:paraId="629814B8" w14:textId="77777777" w:rsidR="007079BC" w:rsidRPr="00BE6771" w:rsidRDefault="007079BC" w:rsidP="007079BC">
      <w:pPr>
        <w:pStyle w:val="Odsekzoznamu"/>
        <w:rPr>
          <w:rFonts w:ascii="Arial Narrow" w:eastAsia="Calibri" w:hAnsi="Arial Narrow" w:cs="Times New Roman"/>
          <w:strike/>
          <w:color w:val="FF0000"/>
        </w:rPr>
      </w:pPr>
    </w:p>
    <w:p w14:paraId="33847182" w14:textId="77777777" w:rsidR="007079BC" w:rsidRPr="00BE6771" w:rsidRDefault="00D837CF" w:rsidP="007079BC">
      <w:pPr>
        <w:pStyle w:val="Odsekzoznamu"/>
        <w:numPr>
          <w:ilvl w:val="0"/>
          <w:numId w:val="32"/>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BE6771">
        <w:rPr>
          <w:rFonts w:ascii="Arial Narrow" w:eastAsia="Calibri" w:hAnsi="Arial Narrow" w:cs="Times New Roman"/>
          <w:b/>
          <w:bCs/>
          <w:strike/>
          <w:color w:val="FF0000"/>
        </w:rPr>
        <w:t>Tarifná skupina</w:t>
      </w:r>
      <w:r w:rsidRPr="00BE6771">
        <w:rPr>
          <w:rFonts w:ascii="Arial Narrow" w:eastAsia="Calibri" w:hAnsi="Arial Narrow" w:cs="Times New Roman"/>
          <w:strike/>
          <w:color w:val="FF0000"/>
        </w:rPr>
        <w:t xml:space="preserve">“). </w:t>
      </w:r>
    </w:p>
    <w:p w14:paraId="505B4C48" w14:textId="77777777" w:rsidR="007079BC" w:rsidRPr="00BE6771" w:rsidRDefault="007079BC" w:rsidP="007079BC">
      <w:pPr>
        <w:pStyle w:val="Odsekzoznamu"/>
        <w:rPr>
          <w:rFonts w:ascii="Arial Narrow" w:eastAsia="Calibri" w:hAnsi="Arial Narrow" w:cs="Times New Roman"/>
          <w:strike/>
          <w:color w:val="FF0000"/>
        </w:rPr>
      </w:pPr>
    </w:p>
    <w:p w14:paraId="1D1D8173" w14:textId="77777777" w:rsidR="007079BC" w:rsidRPr="00BE6771" w:rsidRDefault="00D837CF" w:rsidP="007079BC">
      <w:pPr>
        <w:pStyle w:val="Odsekzoznamu"/>
        <w:numPr>
          <w:ilvl w:val="0"/>
          <w:numId w:val="32"/>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 xml:space="preserve">Pre Odberné miesta s Tarifnou skupinou, pre ktoré nie je stanovená Regulovaná cena za prepravu plynu (napr. pre Odberné miesta s Tarifnou skupinou rovnou alebo vyššou ako 6, </w:t>
      </w:r>
      <w:proofErr w:type="spellStart"/>
      <w:r w:rsidRPr="00BE6771">
        <w:rPr>
          <w:rFonts w:ascii="Arial Narrow" w:eastAsia="Calibri" w:hAnsi="Arial Narrow" w:cs="Times New Roman"/>
          <w:strike/>
          <w:color w:val="FF0000"/>
        </w:rPr>
        <w:t>t.j</w:t>
      </w:r>
      <w:proofErr w:type="spellEnd"/>
      <w:r w:rsidRPr="00BE6771">
        <w:rPr>
          <w:rFonts w:ascii="Arial Narrow" w:eastAsia="Calibri" w:hAnsi="Arial Narrow" w:cs="Times New Roman"/>
          <w:strike/>
          <w:color w:val="FF0000"/>
        </w:rPr>
        <w:t>. s ročným odberom vyšším ako 100 000 kWh) platí Regulovaná cena za prepravu plynu stanovená pre Odberné miesta s Tarifnou skupinou číslo 6.</w:t>
      </w:r>
    </w:p>
    <w:p w14:paraId="4ED0C9FA" w14:textId="77777777" w:rsidR="007079BC" w:rsidRPr="00BE6771" w:rsidRDefault="007079BC" w:rsidP="007079BC">
      <w:pPr>
        <w:pStyle w:val="Odsekzoznamu"/>
        <w:rPr>
          <w:rFonts w:ascii="Arial Narrow" w:eastAsia="Calibri" w:hAnsi="Arial Narrow" w:cs="Times New Roman"/>
          <w:strike/>
          <w:color w:val="FF0000"/>
        </w:rPr>
      </w:pPr>
    </w:p>
    <w:p w14:paraId="372195C8" w14:textId="77777777" w:rsidR="007079BC" w:rsidRPr="00BE6771" w:rsidRDefault="00D837CF" w:rsidP="007079BC">
      <w:pPr>
        <w:pStyle w:val="Odsekzoznamu"/>
        <w:numPr>
          <w:ilvl w:val="0"/>
          <w:numId w:val="32"/>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BE6771">
        <w:rPr>
          <w:rFonts w:ascii="Arial Narrow" w:eastAsia="Calibri" w:hAnsi="Arial Narrow" w:cs="Times New Roman"/>
          <w:b/>
          <w:bCs/>
          <w:strike/>
          <w:color w:val="FF0000"/>
        </w:rPr>
        <w:t>Referenčná cena za prepravu plynu</w:t>
      </w:r>
      <w:r w:rsidRPr="00BE6771">
        <w:rPr>
          <w:rFonts w:ascii="Arial Narrow" w:eastAsia="Calibri" w:hAnsi="Arial Narrow" w:cs="Times New Roman"/>
          <w:strike/>
          <w:color w:val="FF0000"/>
        </w:rPr>
        <w:t xml:space="preserve">“).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w:t>
      </w:r>
      <w:proofErr w:type="spellStart"/>
      <w:r w:rsidRPr="00BE6771">
        <w:rPr>
          <w:rFonts w:ascii="Arial Narrow" w:eastAsia="Calibri" w:hAnsi="Arial Narrow" w:cs="Times New Roman"/>
          <w:strike/>
          <w:color w:val="FF0000"/>
        </w:rPr>
        <w:t>ÚRSOm</w:t>
      </w:r>
      <w:proofErr w:type="spellEnd"/>
      <w:r w:rsidRPr="00BE6771">
        <w:rPr>
          <w:rFonts w:ascii="Arial Narrow" w:eastAsia="Calibri" w:hAnsi="Arial Narrow" w:cs="Times New Roman"/>
          <w:strike/>
          <w:color w:val="FF0000"/>
        </w:rPr>
        <w:t xml:space="preserve"> s uvedením stránky, na ktorej sú cenníky zverejnené.</w:t>
      </w:r>
    </w:p>
    <w:p w14:paraId="5874AB1E" w14:textId="77777777" w:rsidR="007079BC" w:rsidRPr="00BE6771" w:rsidRDefault="007079BC" w:rsidP="007079BC">
      <w:pPr>
        <w:pStyle w:val="Odsekzoznamu"/>
        <w:rPr>
          <w:rFonts w:ascii="Arial Narrow" w:eastAsia="Calibri" w:hAnsi="Arial Narrow" w:cs="Times New Roman"/>
          <w:strike/>
          <w:color w:val="FF0000"/>
        </w:rPr>
      </w:pPr>
    </w:p>
    <w:p w14:paraId="2DE97AE9" w14:textId="6EF48F12" w:rsidR="00D837CF" w:rsidRPr="00BE6771" w:rsidRDefault="00D837CF" w:rsidP="007079BC">
      <w:pPr>
        <w:pStyle w:val="Odsekzoznamu"/>
        <w:numPr>
          <w:ilvl w:val="0"/>
          <w:numId w:val="32"/>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Ak v čase dodávky plynu neexistujú Referenčné ceny za prepravu plynu podľa predošlého bodu, použije sa pre stanovenie Ceny za prepravu plynu X násobok sumy 2,86 EUR/MWh bez DPH, pričom "</w:t>
      </w:r>
      <w:r w:rsidRPr="00BE6771">
        <w:rPr>
          <w:rFonts w:ascii="Arial Narrow" w:eastAsia="Calibri" w:hAnsi="Arial Narrow" w:cs="Times New Roman"/>
          <w:b/>
          <w:bCs/>
          <w:strike/>
          <w:color w:val="FF0000"/>
        </w:rPr>
        <w:t>X“</w:t>
      </w:r>
      <w:r w:rsidRPr="00BE6771">
        <w:rPr>
          <w:rFonts w:ascii="Arial Narrow" w:eastAsia="Calibri" w:hAnsi="Arial Narrow" w:cs="Times New Roman"/>
          <w:strike/>
          <w:color w:val="FF0000"/>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BE6771" w:rsidRDefault="00D837CF" w:rsidP="007079BC">
      <w:pPr>
        <w:ind w:firstLine="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X = HICP</w:t>
      </w:r>
      <w:r w:rsidRPr="00BE6771">
        <w:rPr>
          <w:rFonts w:ascii="Arial Narrow" w:eastAsia="Calibri" w:hAnsi="Arial Narrow" w:cs="Times New Roman"/>
          <w:b/>
          <w:bCs/>
          <w:strike/>
          <w:color w:val="FF0000"/>
          <w:vertAlign w:val="subscript"/>
        </w:rPr>
        <w:t>A</w:t>
      </w:r>
      <w:r w:rsidRPr="00BE6771">
        <w:rPr>
          <w:rFonts w:ascii="Arial Narrow" w:eastAsia="Calibri" w:hAnsi="Arial Narrow" w:cs="Times New Roman"/>
          <w:strike/>
          <w:color w:val="FF0000"/>
        </w:rPr>
        <w:t xml:space="preserve"> /HICP</w:t>
      </w:r>
      <w:r w:rsidRPr="00BE6771">
        <w:rPr>
          <w:rFonts w:ascii="Arial Narrow" w:eastAsia="Calibri" w:hAnsi="Arial Narrow" w:cs="Times New Roman"/>
          <w:b/>
          <w:bCs/>
          <w:strike/>
          <w:color w:val="FF0000"/>
          <w:vertAlign w:val="subscript"/>
        </w:rPr>
        <w:t>B</w:t>
      </w:r>
      <w:r w:rsidRPr="00BE6771">
        <w:rPr>
          <w:rFonts w:ascii="Arial Narrow" w:eastAsia="Calibri" w:hAnsi="Arial Narrow" w:cs="Times New Roman"/>
          <w:strike/>
          <w:color w:val="FF0000"/>
        </w:rPr>
        <w:t>/100; pričom</w:t>
      </w:r>
    </w:p>
    <w:p w14:paraId="170FB212" w14:textId="77777777" w:rsidR="007079BC" w:rsidRPr="00BE6771" w:rsidRDefault="00D837CF" w:rsidP="007079BC">
      <w:pPr>
        <w:numPr>
          <w:ilvl w:val="0"/>
          <w:numId w:val="31"/>
        </w:numPr>
        <w:jc w:val="both"/>
        <w:rPr>
          <w:rFonts w:ascii="Arial Narrow" w:eastAsia="Calibri" w:hAnsi="Arial Narrow" w:cs="Times New Roman"/>
          <w:strike/>
          <w:color w:val="FF0000"/>
        </w:rPr>
      </w:pPr>
      <w:r w:rsidRPr="00BE6771">
        <w:rPr>
          <w:rFonts w:ascii="Arial Narrow" w:eastAsia="Calibri" w:hAnsi="Arial Narrow" w:cs="Times New Roman"/>
          <w:strike/>
          <w:color w:val="FF0000"/>
        </w:rPr>
        <w:t>HICP</w:t>
      </w:r>
      <w:r w:rsidRPr="00BE6771">
        <w:rPr>
          <w:rFonts w:ascii="Arial Narrow" w:eastAsia="Calibri" w:hAnsi="Arial Narrow" w:cs="Times New Roman"/>
          <w:b/>
          <w:bCs/>
          <w:strike/>
          <w:color w:val="FF0000"/>
          <w:vertAlign w:val="subscript"/>
        </w:rPr>
        <w:t>A</w:t>
      </w:r>
      <w:r w:rsidRPr="00BE6771">
        <w:rPr>
          <w:rFonts w:ascii="Arial Narrow" w:eastAsia="Calibri" w:hAnsi="Arial Narrow" w:cs="Times New Roman"/>
          <w:strike/>
          <w:color w:val="FF0000"/>
        </w:rPr>
        <w:t xml:space="preserve"> – predstavuje najaktuálnejšiu zverejnenú hodnotu indexu (</w:t>
      </w:r>
      <w:r w:rsidRPr="00BE6771">
        <w:rPr>
          <w:rFonts w:ascii="Arial Narrow" w:eastAsia="Calibri" w:hAnsi="Arial Narrow" w:cs="Times New Roman"/>
          <w:b/>
          <w:bCs/>
          <w:strike/>
          <w:color w:val="FF0000"/>
        </w:rPr>
        <w:t xml:space="preserve">Aktuálna hodnota HICP </w:t>
      </w:r>
      <w:r w:rsidRPr="00BE6771">
        <w:rPr>
          <w:rFonts w:ascii="Arial Narrow" w:eastAsia="Calibri" w:hAnsi="Arial Narrow" w:cs="Times New Roman"/>
          <w:strike/>
          <w:color w:val="FF0000"/>
        </w:rPr>
        <w:t>–</w:t>
      </w:r>
      <w:r w:rsidRPr="00BE6771">
        <w:rPr>
          <w:rFonts w:ascii="Arial Narrow" w:eastAsia="Calibri" w:hAnsi="Arial Narrow" w:cs="Times New Roman"/>
          <w:b/>
          <w:bCs/>
          <w:strike/>
          <w:color w:val="FF0000"/>
        </w:rPr>
        <w:t xml:space="preserve"> </w:t>
      </w:r>
      <w:r w:rsidRPr="00BE6771">
        <w:rPr>
          <w:rFonts w:ascii="Arial Narrow" w:eastAsia="Calibri" w:hAnsi="Arial Narrow" w:cs="Times New Roman"/>
          <w:strike/>
          <w:color w:val="FF0000"/>
        </w:rPr>
        <w:t>HICP</w:t>
      </w:r>
      <w:r w:rsidRPr="00BE6771">
        <w:rPr>
          <w:rFonts w:ascii="Arial Narrow" w:eastAsia="Calibri" w:hAnsi="Arial Narrow" w:cs="Times New Roman"/>
          <w:b/>
          <w:bCs/>
          <w:strike/>
          <w:color w:val="FF0000"/>
          <w:vertAlign w:val="subscript"/>
        </w:rPr>
        <w:t>A</w:t>
      </w:r>
      <w:r w:rsidRPr="00BE6771">
        <w:rPr>
          <w:rFonts w:ascii="Arial Narrow" w:eastAsia="Calibri" w:hAnsi="Arial Narrow" w:cs="Times New Roman"/>
          <w:strike/>
          <w:color w:val="FF0000"/>
        </w:rPr>
        <w:t>);</w:t>
      </w:r>
    </w:p>
    <w:p w14:paraId="5B6C5939" w14:textId="4F414C0F" w:rsidR="00D837CF" w:rsidRPr="00BE6771" w:rsidRDefault="00D837CF" w:rsidP="007079BC">
      <w:pPr>
        <w:numPr>
          <w:ilvl w:val="0"/>
          <w:numId w:val="31"/>
        </w:numPr>
        <w:jc w:val="both"/>
        <w:rPr>
          <w:rFonts w:ascii="Arial Narrow" w:eastAsia="Calibri" w:hAnsi="Arial Narrow" w:cs="Times New Roman"/>
          <w:strike/>
          <w:color w:val="FF0000"/>
        </w:rPr>
      </w:pPr>
      <w:r w:rsidRPr="00BE6771">
        <w:rPr>
          <w:rFonts w:ascii="Arial Narrow" w:eastAsia="Calibri" w:hAnsi="Arial Narrow" w:cs="Times New Roman"/>
          <w:strike/>
          <w:color w:val="FF0000"/>
        </w:rPr>
        <w:t>HICP</w:t>
      </w:r>
      <w:r w:rsidRPr="00BE6771">
        <w:rPr>
          <w:rFonts w:ascii="Arial Narrow" w:eastAsia="Calibri" w:hAnsi="Arial Narrow" w:cs="Times New Roman"/>
          <w:b/>
          <w:bCs/>
          <w:strike/>
          <w:color w:val="FF0000"/>
          <w:vertAlign w:val="subscript"/>
        </w:rPr>
        <w:t>B</w:t>
      </w:r>
      <w:r w:rsidRPr="00BE6771">
        <w:rPr>
          <w:rFonts w:ascii="Arial Narrow" w:eastAsia="Calibri" w:hAnsi="Arial Narrow" w:cs="Times New Roman"/>
          <w:strike/>
          <w:color w:val="FF0000"/>
        </w:rPr>
        <w:t xml:space="preserve"> – je hodnota indikujúca bázickú cenovú hladinu, zodpovedajúcu cenovej hladine posledného mesiaca východiskového obdobia (</w:t>
      </w:r>
      <w:r w:rsidRPr="00BE6771">
        <w:rPr>
          <w:rFonts w:ascii="Arial Narrow" w:eastAsia="Calibri" w:hAnsi="Arial Narrow" w:cs="Times New Roman"/>
          <w:b/>
          <w:bCs/>
          <w:strike/>
          <w:color w:val="FF0000"/>
        </w:rPr>
        <w:t xml:space="preserve">Bázická hodnota HICP </w:t>
      </w:r>
      <w:r w:rsidRPr="00BE6771">
        <w:rPr>
          <w:rFonts w:ascii="Arial Narrow" w:eastAsia="Calibri" w:hAnsi="Arial Narrow" w:cs="Times New Roman"/>
          <w:strike/>
          <w:color w:val="FF0000"/>
        </w:rPr>
        <w:t>– HICP</w:t>
      </w:r>
      <w:r w:rsidRPr="00BE6771">
        <w:rPr>
          <w:rFonts w:ascii="Arial Narrow" w:eastAsia="Calibri" w:hAnsi="Arial Narrow" w:cs="Times New Roman"/>
          <w:strike/>
          <w:color w:val="FF0000"/>
          <w:vertAlign w:val="subscript"/>
        </w:rPr>
        <w:t>B</w:t>
      </w:r>
      <w:r w:rsidRPr="00BE6771">
        <w:rPr>
          <w:rFonts w:ascii="Arial Narrow" w:eastAsia="Calibri" w:hAnsi="Arial Narrow" w:cs="Times New Roman"/>
          <w:strike/>
          <w:color w:val="FF0000"/>
        </w:rPr>
        <w:t xml:space="preserve">). Východiskovým obdobím je </w:t>
      </w:r>
      <w:r w:rsidRPr="00BE6771">
        <w:rPr>
          <w:rFonts w:ascii="Arial Narrow" w:eastAsia="Calibri" w:hAnsi="Arial Narrow" w:cs="Times New Roman"/>
          <w:strike/>
          <w:color w:val="FF0000"/>
        </w:rPr>
        <w:lastRenderedPageBreak/>
        <w:t>kalendárny mesiac, ku ktorému bolo naposledy stanovené X. Pre prvé stanovenie X je východiskovým obdobím január 2022 a HICP</w:t>
      </w:r>
      <w:r w:rsidRPr="00BE6771">
        <w:rPr>
          <w:rFonts w:ascii="Arial Narrow" w:eastAsia="Calibri" w:hAnsi="Arial Narrow" w:cs="Times New Roman"/>
          <w:strike/>
          <w:color w:val="FF0000"/>
          <w:vertAlign w:val="subscript"/>
        </w:rPr>
        <w:t>B</w:t>
      </w:r>
      <w:r w:rsidRPr="00BE6771">
        <w:rPr>
          <w:rFonts w:ascii="Arial Narrow" w:eastAsia="Calibri" w:hAnsi="Arial Narrow" w:cs="Times New Roman"/>
          <w:strike/>
          <w:color w:val="FF0000"/>
        </w:rPr>
        <w:t xml:space="preserve"> (za december 2021) vo výške 114,15. HICP</w:t>
      </w:r>
      <w:r w:rsidRPr="00BE6771">
        <w:rPr>
          <w:rFonts w:ascii="Arial Narrow" w:eastAsia="Calibri" w:hAnsi="Arial Narrow" w:cs="Times New Roman"/>
          <w:strike/>
          <w:color w:val="FF0000"/>
          <w:vertAlign w:val="subscript"/>
        </w:rPr>
        <w:t xml:space="preserve">B </w:t>
      </w:r>
      <w:r w:rsidRPr="00BE6771">
        <w:rPr>
          <w:rFonts w:ascii="Arial Narrow" w:eastAsia="Calibri" w:hAnsi="Arial Narrow" w:cs="Times New Roman"/>
          <w:strike/>
          <w:color w:val="FF0000"/>
        </w:rPr>
        <w:t>pri nasledovnom stanovení X bude vo výške rovnajúcej sa hodnote HICP</w:t>
      </w:r>
      <w:r w:rsidRPr="00BE6771">
        <w:rPr>
          <w:rFonts w:ascii="Arial Narrow" w:eastAsia="Calibri" w:hAnsi="Arial Narrow" w:cs="Times New Roman"/>
          <w:strike/>
          <w:color w:val="FF0000"/>
          <w:vertAlign w:val="subscript"/>
        </w:rPr>
        <w:t>A</w:t>
      </w:r>
      <w:r w:rsidRPr="00BE6771">
        <w:rPr>
          <w:rFonts w:ascii="Arial Narrow" w:eastAsia="Calibri" w:hAnsi="Arial Narrow" w:cs="Times New Roman"/>
          <w:strike/>
          <w:color w:val="FF0000"/>
        </w:rPr>
        <w:t>, ktorá bola použitá pri bezprostredne predošlom stanovení nárastu cenovej hladiny X.</w:t>
      </w:r>
      <w:bookmarkStart w:id="3" w:name="_GoBack"/>
      <w:bookmarkEnd w:id="3"/>
    </w:p>
    <w:p w14:paraId="1A8B8C76" w14:textId="1FC30C9C" w:rsidR="00D837CF" w:rsidRPr="00BE6771" w:rsidRDefault="00D837CF" w:rsidP="007079BC">
      <w:pPr>
        <w:numPr>
          <w:ilvl w:val="1"/>
          <w:numId w:val="29"/>
        </w:numPr>
        <w:ind w:left="709" w:hanging="709"/>
        <w:jc w:val="both"/>
        <w:rPr>
          <w:rFonts w:ascii="Arial Narrow" w:eastAsia="Calibri" w:hAnsi="Arial Narrow" w:cs="Times New Roman"/>
          <w:strike/>
          <w:color w:val="FF0000"/>
        </w:rPr>
      </w:pPr>
      <w:r w:rsidRPr="00BE6771">
        <w:rPr>
          <w:rFonts w:ascii="Arial Narrow" w:eastAsia="Calibri" w:hAnsi="Arial Narrow" w:cs="Times New Roman"/>
          <w:strike/>
          <w:color w:val="FF0000"/>
        </w:rPr>
        <w:t xml:space="preserve">Cenu za dodávku plynu stanovenú podľa predošlého bodu možno počas Zmluvného obdobia zvýšiť najviac trikrát. </w:t>
      </w:r>
    </w:p>
    <w:p w14:paraId="76984B3A" w14:textId="77777777" w:rsidR="00D837CF" w:rsidRPr="00BE6771" w:rsidRDefault="00D837CF" w:rsidP="007079BC">
      <w:pPr>
        <w:numPr>
          <w:ilvl w:val="1"/>
          <w:numId w:val="29"/>
        </w:numPr>
        <w:ind w:left="567" w:hanging="567"/>
        <w:jc w:val="both"/>
        <w:rPr>
          <w:rFonts w:ascii="Arial Narrow" w:eastAsia="Calibri" w:hAnsi="Arial Narrow" w:cs="Times New Roman"/>
          <w:strike/>
          <w:color w:val="FF0000"/>
        </w:rPr>
      </w:pPr>
      <w:r w:rsidRPr="00BE6771">
        <w:rPr>
          <w:rFonts w:ascii="Arial Narrow" w:eastAsia="Calibri" w:hAnsi="Arial Narrow" w:cs="Times New Roman"/>
          <w:strike/>
          <w:color w:val="FF0000"/>
        </w:rPr>
        <w:t xml:space="preserve">Ku dňu zverejnenia tohto dokumentu sú hodnoty Indexu spotrebiteľských cien zverejňované na stránke: </w:t>
      </w:r>
      <w:hyperlink r:id="rId11" w:anchor="!/view/sk/VBD_INTERN/sp0017ms/v_sp0017ms_00_00_00_sk" w:history="1">
        <w:r w:rsidRPr="00BE6771">
          <w:rPr>
            <w:rFonts w:ascii="Arial Narrow" w:eastAsia="Calibri" w:hAnsi="Arial Narrow" w:cs="Times New Roman"/>
            <w:strike/>
            <w:color w:val="FF0000"/>
            <w:u w:val="single"/>
          </w:rPr>
          <w:t>http://datacube.statistics.sk/#!/view/sk/VBD_INTERN/sp0017ms/v_sp0017ms_00_00_00_sk</w:t>
        </w:r>
      </w:hyperlink>
    </w:p>
    <w:p w14:paraId="15AA23FB" w14:textId="77777777" w:rsidR="00BE6771" w:rsidRDefault="00BE6771" w:rsidP="00D837CF">
      <w:pPr>
        <w:jc w:val="both"/>
        <w:rPr>
          <w:rFonts w:ascii="Arial Narrow" w:hAnsi="Arial Narrow" w:cs="Times New Roman"/>
        </w:rPr>
      </w:pPr>
      <w:r w:rsidRPr="00BE6771">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sidRPr="00BE6771">
        <w:rPr>
          <w:rFonts w:ascii="Arial Narrow" w:hAnsi="Arial Narrow" w:cs="Times New Roman"/>
        </w:rPr>
        <w:t>eustream</w:t>
      </w:r>
      <w:proofErr w:type="spellEnd"/>
      <w:r w:rsidRPr="00BE6771">
        <w:rPr>
          <w:rFonts w:ascii="Arial Narrow" w:hAnsi="Arial Narrow" w:cs="Times New Roman"/>
        </w:rPr>
        <w:t xml:space="preserve">, </w:t>
      </w:r>
      <w:proofErr w:type="spellStart"/>
      <w:r w:rsidRPr="00BE6771">
        <w:rPr>
          <w:rFonts w:ascii="Arial Narrow" w:hAnsi="Arial Narrow" w:cs="Times New Roman"/>
        </w:rPr>
        <w:t>a.s</w:t>
      </w:r>
      <w:proofErr w:type="spellEnd"/>
      <w:r w:rsidRPr="00BE6771">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14:paraId="4B7C0DD9" w14:textId="2924EB9E" w:rsidR="00D837CF" w:rsidRPr="00D53BAA" w:rsidRDefault="00BE6771" w:rsidP="00D837CF">
      <w:pPr>
        <w:jc w:val="both"/>
        <w:rPr>
          <w:rFonts w:ascii="Arial Narrow" w:hAnsi="Arial Narrow" w:cs="Times New Roman"/>
        </w:rPr>
      </w:pPr>
      <w:r w:rsidRPr="00BE6771">
        <w:rPr>
          <w:rFonts w:ascii="Arial Narrow" w:hAnsi="Arial Narrow" w:cs="Times New Roman"/>
        </w:rPr>
        <w:t>V prípade ak  príslušné OM podlieha cenovej regulácii, tak sa cena za prepravu sa stanoví podľa vyhlášky č. 147/2024 Z. z.</w:t>
      </w: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4973" w14:textId="77777777" w:rsidR="00025CF8" w:rsidRDefault="00025CF8" w:rsidP="002B256F">
      <w:pPr>
        <w:spacing w:after="0" w:line="240" w:lineRule="auto"/>
      </w:pPr>
      <w:r>
        <w:separator/>
      </w:r>
    </w:p>
  </w:endnote>
  <w:endnote w:type="continuationSeparator" w:id="0">
    <w:p w14:paraId="6E9B4BC4" w14:textId="77777777" w:rsidR="00025CF8" w:rsidRDefault="00025CF8"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08BCE24"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BE6771">
          <w:rPr>
            <w:rFonts w:ascii="Arial Narrow" w:hAnsi="Arial Narrow"/>
            <w:noProof/>
            <w:sz w:val="20"/>
            <w:szCs w:val="20"/>
          </w:rPr>
          <w:t>17</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514B4" w14:textId="77777777" w:rsidR="00025CF8" w:rsidRDefault="00025CF8" w:rsidP="002B256F">
      <w:pPr>
        <w:spacing w:after="0" w:line="240" w:lineRule="auto"/>
      </w:pPr>
      <w:r>
        <w:separator/>
      </w:r>
    </w:p>
  </w:footnote>
  <w:footnote w:type="continuationSeparator" w:id="0">
    <w:p w14:paraId="79A70311" w14:textId="77777777" w:rsidR="00025CF8" w:rsidRDefault="00025CF8" w:rsidP="002B256F">
      <w:pPr>
        <w:spacing w:after="0" w:line="240" w:lineRule="auto"/>
      </w:pPr>
      <w:r>
        <w:continuationSeparator/>
      </w:r>
    </w:p>
  </w:footnote>
  <w:footnote w:id="1">
    <w:p w14:paraId="4B8AF165" w14:textId="77777777" w:rsidR="00D837CF" w:rsidRPr="00BE6771" w:rsidRDefault="00D837CF" w:rsidP="00D837CF">
      <w:pPr>
        <w:pStyle w:val="Pta"/>
        <w:jc w:val="both"/>
        <w:rPr>
          <w:strike/>
          <w:color w:val="000000" w:themeColor="text1"/>
        </w:rPr>
      </w:pPr>
      <w:r w:rsidRPr="00BE6771">
        <w:rPr>
          <w:rStyle w:val="Odkaznapoznmkupodiarou"/>
          <w:strike/>
          <w:color w:val="FF0000"/>
        </w:rPr>
        <w:footnoteRef/>
      </w:r>
      <w:r w:rsidRPr="00BE6771">
        <w:rPr>
          <w:strike/>
          <w:color w:val="FF0000"/>
        </w:rPr>
        <w:t xml:space="preserve"> </w:t>
      </w:r>
      <w:r w:rsidRPr="00BE6771">
        <w:rPr>
          <w:rFonts w:ascii="Arial Narrow" w:hAnsi="Arial Narrow"/>
          <w:strike/>
          <w:color w:val="FF0000"/>
          <w:sz w:val="18"/>
          <w:szCs w:val="18"/>
        </w:rPr>
        <w:t>odberateľ podľa §2 písmeno k bod 4) zákona č. 250/2012 Z. z. o regulácii v sieťových odvetviach v platnom znení (ďalej len „</w:t>
      </w:r>
      <w:r w:rsidRPr="00BE6771">
        <w:rPr>
          <w:rFonts w:ascii="Arial Narrow" w:hAnsi="Arial Narrow"/>
          <w:b/>
          <w:bCs/>
          <w:strike/>
          <w:color w:val="FF0000"/>
          <w:sz w:val="18"/>
          <w:szCs w:val="18"/>
        </w:rPr>
        <w:t>Zákon o regulácii</w:t>
      </w:r>
      <w:r w:rsidRPr="00BE6771">
        <w:rPr>
          <w:rFonts w:ascii="Arial Narrow" w:hAnsi="Arial Narrow"/>
          <w:strike/>
          <w:color w:val="FF0000"/>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5B44C8"/>
    <w:multiLevelType w:val="multilevel"/>
    <w:tmpl w:val="9ACE5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1713"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8" w15:restartNumberingAfterBreak="0">
    <w:nsid w:val="6C7F1042"/>
    <w:multiLevelType w:val="multilevel"/>
    <w:tmpl w:val="06DA2FBC"/>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color w:val="FF0000"/>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2"/>
  </w:num>
  <w:num w:numId="6">
    <w:abstractNumId w:val="11"/>
  </w:num>
  <w:num w:numId="7">
    <w:abstractNumId w:val="25"/>
  </w:num>
  <w:num w:numId="8">
    <w:abstractNumId w:val="22"/>
  </w:num>
  <w:num w:numId="9">
    <w:abstractNumId w:val="0"/>
  </w:num>
  <w:num w:numId="10">
    <w:abstractNumId w:val="23"/>
  </w:num>
  <w:num w:numId="11">
    <w:abstractNumId w:val="21"/>
  </w:num>
  <w:num w:numId="12">
    <w:abstractNumId w:val="31"/>
  </w:num>
  <w:num w:numId="13">
    <w:abstractNumId w:val="17"/>
  </w:num>
  <w:num w:numId="14">
    <w:abstractNumId w:val="29"/>
  </w:num>
  <w:num w:numId="15">
    <w:abstractNumId w:val="6"/>
  </w:num>
  <w:num w:numId="16">
    <w:abstractNumId w:val="18"/>
  </w:num>
  <w:num w:numId="17">
    <w:abstractNumId w:val="24"/>
  </w:num>
  <w:num w:numId="18">
    <w:abstractNumId w:val="27"/>
  </w:num>
  <w:num w:numId="19">
    <w:abstractNumId w:val="15"/>
  </w:num>
  <w:num w:numId="20">
    <w:abstractNumId w:val="26"/>
  </w:num>
  <w:num w:numId="21">
    <w:abstractNumId w:val="8"/>
  </w:num>
  <w:num w:numId="22">
    <w:abstractNumId w:val="3"/>
  </w:num>
  <w:num w:numId="23">
    <w:abstractNumId w:val="4"/>
  </w:num>
  <w:num w:numId="24">
    <w:abstractNumId w:val="9"/>
  </w:num>
  <w:num w:numId="25">
    <w:abstractNumId w:val="20"/>
  </w:num>
  <w:num w:numId="26">
    <w:abstractNumId w:val="14"/>
  </w:num>
  <w:num w:numId="27">
    <w:abstractNumId w:val="5"/>
  </w:num>
  <w:num w:numId="28">
    <w:abstractNumId w:val="7"/>
  </w:num>
  <w:num w:numId="29">
    <w:abstractNumId w:val="28"/>
  </w:num>
  <w:num w:numId="30">
    <w:abstractNumId w:val="10"/>
  </w:num>
  <w:num w:numId="31">
    <w:abstractNumId w:val="3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25CF8"/>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553D7"/>
    <w:rsid w:val="00163331"/>
    <w:rsid w:val="001A2E11"/>
    <w:rsid w:val="001C47FC"/>
    <w:rsid w:val="001C486D"/>
    <w:rsid w:val="001E152E"/>
    <w:rsid w:val="001E5550"/>
    <w:rsid w:val="001F3866"/>
    <w:rsid w:val="001F59EB"/>
    <w:rsid w:val="002150EF"/>
    <w:rsid w:val="0021611D"/>
    <w:rsid w:val="00225BA4"/>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4F9C"/>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3CB"/>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70413"/>
    <w:rsid w:val="00A762B0"/>
    <w:rsid w:val="00A81D0E"/>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E6771"/>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0E83"/>
    <w:rsid w:val="00DD30ED"/>
    <w:rsid w:val="00DD3317"/>
    <w:rsid w:val="00DE2048"/>
    <w:rsid w:val="00E21F64"/>
    <w:rsid w:val="00E25CB7"/>
    <w:rsid w:val="00E30580"/>
    <w:rsid w:val="00E45405"/>
    <w:rsid w:val="00E45CFD"/>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 w:id="5392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48D845-B8D3-4C5E-B138-AA2C0212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6645</Words>
  <Characters>37880</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3</cp:revision>
  <cp:lastPrinted>2023-09-22T08:01:00Z</cp:lastPrinted>
  <dcterms:created xsi:type="dcterms:W3CDTF">2024-11-06T09:22:00Z</dcterms:created>
  <dcterms:modified xsi:type="dcterms:W3CDTF">2024-11-06T09:24:00Z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