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0934A50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D42A9A">
        <w:rPr>
          <w:rFonts w:ascii="Arial Narrow" w:hAnsi="Arial Narrow"/>
          <w:b/>
          <w:bCs/>
          <w:sz w:val="22"/>
        </w:rPr>
        <w:t>Osobné motorové vozidlá pre MZ SR</w:t>
      </w:r>
      <w:r w:rsidR="00D5752B">
        <w:rPr>
          <w:rFonts w:ascii="Arial Narrow" w:hAnsi="Arial Narrow"/>
          <w:b/>
          <w:bCs/>
          <w:sz w:val="22"/>
        </w:rPr>
        <w:t xml:space="preserve"> – časť </w:t>
      </w:r>
      <w:r w:rsidR="00D5752B" w:rsidRPr="00D42A9A">
        <w:rPr>
          <w:rFonts w:ascii="Arial Narrow" w:hAnsi="Arial Narrow"/>
          <w:b/>
          <w:bCs/>
          <w:sz w:val="22"/>
          <w:highlight w:val="yellow"/>
        </w:rPr>
        <w:t>XY</w:t>
      </w:r>
      <w:r w:rsidR="00816071">
        <w:rPr>
          <w:rFonts w:ascii="Arial Narrow" w:hAnsi="Arial Narrow"/>
          <w:b/>
          <w:bCs/>
          <w:sz w:val="22"/>
        </w:rPr>
        <w:t>(doplní uchádzač....)</w:t>
      </w:r>
      <w:bookmarkStart w:id="0" w:name="_GoBack"/>
      <w:bookmarkEnd w:id="0"/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D42A9A">
        <w:rPr>
          <w:rFonts w:ascii="Arial Narrow" w:hAnsi="Arial Narrow"/>
          <w:sz w:val="22"/>
        </w:rPr>
        <w:t>61260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DB5AD" w14:textId="77777777" w:rsidR="00E202FD" w:rsidRDefault="00E202FD">
      <w:pPr>
        <w:spacing w:after="0" w:line="240" w:lineRule="auto"/>
      </w:pPr>
      <w:r>
        <w:separator/>
      </w:r>
    </w:p>
  </w:endnote>
  <w:endnote w:type="continuationSeparator" w:id="0">
    <w:p w14:paraId="5169558D" w14:textId="77777777" w:rsidR="00E202FD" w:rsidRDefault="00E2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A88FD" w14:textId="77777777" w:rsidR="00E202FD" w:rsidRDefault="00E202FD">
      <w:pPr>
        <w:spacing w:after="0" w:line="240" w:lineRule="auto"/>
      </w:pPr>
      <w:r>
        <w:separator/>
      </w:r>
    </w:p>
  </w:footnote>
  <w:footnote w:type="continuationSeparator" w:id="0">
    <w:p w14:paraId="102ACCF8" w14:textId="77777777" w:rsidR="00E202FD" w:rsidRDefault="00E20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35EF4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6071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2A33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B3DBF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2A9A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02FD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F6E381-59D3-43A8-83E9-EF9D0131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2024-11-11T14:04:00Z</dcterms:modified>
</cp:coreProperties>
</file>