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DBD26" w14:textId="77777777" w:rsidR="00C31ED0" w:rsidRDefault="00C31ED0" w:rsidP="00C31ED0">
      <w:pPr>
        <w:spacing w:after="240"/>
        <w:jc w:val="center"/>
        <w:rPr>
          <w:rFonts w:ascii="Times New Roman" w:hAnsi="Times New Roman" w:cs="Times New Roman"/>
          <w:b/>
          <w:sz w:val="36"/>
          <w:szCs w:val="36"/>
        </w:rPr>
      </w:pPr>
    </w:p>
    <w:p w14:paraId="3F7E3684" w14:textId="77777777" w:rsidR="00C31ED0" w:rsidRDefault="00C31ED0" w:rsidP="00C31ED0">
      <w:pPr>
        <w:spacing w:after="240"/>
        <w:jc w:val="center"/>
        <w:rPr>
          <w:rFonts w:ascii="Times New Roman" w:hAnsi="Times New Roman" w:cs="Times New Roman"/>
          <w:b/>
          <w:sz w:val="36"/>
          <w:szCs w:val="36"/>
        </w:rPr>
      </w:pPr>
    </w:p>
    <w:p w14:paraId="67FE4C61" w14:textId="77777777" w:rsidR="00C31ED0" w:rsidRDefault="00C31ED0" w:rsidP="00C31ED0">
      <w:pPr>
        <w:spacing w:after="240"/>
        <w:jc w:val="center"/>
        <w:rPr>
          <w:rFonts w:ascii="Times New Roman" w:hAnsi="Times New Roman" w:cs="Times New Roman"/>
          <w:b/>
          <w:sz w:val="36"/>
          <w:szCs w:val="36"/>
        </w:rPr>
      </w:pPr>
    </w:p>
    <w:p w14:paraId="21C50AB1" w14:textId="77777777" w:rsidR="00C31ED0" w:rsidRDefault="00C31ED0" w:rsidP="00C31ED0">
      <w:pPr>
        <w:spacing w:after="240"/>
        <w:jc w:val="center"/>
        <w:rPr>
          <w:rFonts w:ascii="Times New Roman" w:hAnsi="Times New Roman" w:cs="Times New Roman"/>
          <w:b/>
          <w:sz w:val="36"/>
          <w:szCs w:val="36"/>
        </w:rPr>
      </w:pPr>
    </w:p>
    <w:p w14:paraId="1F37FFE5" w14:textId="77777777" w:rsidR="00C31ED0" w:rsidRDefault="00C31ED0" w:rsidP="00C31ED0">
      <w:pPr>
        <w:spacing w:after="240"/>
        <w:jc w:val="center"/>
        <w:rPr>
          <w:rFonts w:ascii="Times New Roman" w:hAnsi="Times New Roman" w:cs="Times New Roman"/>
          <w:b/>
          <w:sz w:val="36"/>
          <w:szCs w:val="36"/>
        </w:rPr>
      </w:pPr>
    </w:p>
    <w:p w14:paraId="4260B4A1" w14:textId="77777777" w:rsidR="00C31ED0" w:rsidRDefault="00C31ED0" w:rsidP="00C31ED0">
      <w:pPr>
        <w:spacing w:after="240"/>
        <w:jc w:val="center"/>
        <w:rPr>
          <w:rFonts w:ascii="Times New Roman" w:hAnsi="Times New Roman" w:cs="Times New Roman"/>
          <w:b/>
          <w:sz w:val="36"/>
          <w:szCs w:val="36"/>
        </w:rPr>
      </w:pPr>
    </w:p>
    <w:p w14:paraId="12FE666C" w14:textId="77777777" w:rsidR="00C31ED0" w:rsidRDefault="00C31ED0" w:rsidP="00C31ED0">
      <w:pPr>
        <w:spacing w:after="240"/>
        <w:jc w:val="center"/>
        <w:rPr>
          <w:rFonts w:ascii="Times New Roman" w:hAnsi="Times New Roman" w:cs="Times New Roman"/>
          <w:b/>
          <w:sz w:val="36"/>
          <w:szCs w:val="36"/>
        </w:rPr>
      </w:pPr>
    </w:p>
    <w:p w14:paraId="44AC0038" w14:textId="77777777" w:rsidR="00C31ED0" w:rsidRDefault="00C31ED0" w:rsidP="00C31ED0">
      <w:pPr>
        <w:spacing w:after="240"/>
        <w:jc w:val="center"/>
        <w:rPr>
          <w:rFonts w:ascii="Times New Roman" w:hAnsi="Times New Roman" w:cs="Times New Roman"/>
          <w:b/>
          <w:sz w:val="36"/>
          <w:szCs w:val="36"/>
        </w:rPr>
      </w:pPr>
    </w:p>
    <w:p w14:paraId="15914D06" w14:textId="77777777" w:rsidR="00235D87" w:rsidRDefault="00C31ED0" w:rsidP="00C31ED0">
      <w:pPr>
        <w:spacing w:after="240"/>
        <w:jc w:val="center"/>
        <w:rPr>
          <w:rFonts w:ascii="Times New Roman" w:hAnsi="Times New Roman" w:cs="Times New Roman"/>
          <w:b/>
          <w:sz w:val="36"/>
          <w:szCs w:val="36"/>
        </w:rPr>
      </w:pPr>
      <w:r>
        <w:rPr>
          <w:rFonts w:ascii="Times New Roman" w:hAnsi="Times New Roman" w:cs="Times New Roman"/>
          <w:b/>
          <w:sz w:val="36"/>
          <w:szCs w:val="36"/>
        </w:rPr>
        <w:t>Súťažné podklady</w:t>
      </w:r>
    </w:p>
    <w:p w14:paraId="02448925" w14:textId="77777777" w:rsidR="008E0AA2" w:rsidRPr="00C31ED0" w:rsidRDefault="00C31ED0" w:rsidP="00C31ED0">
      <w:pPr>
        <w:spacing w:after="240"/>
        <w:jc w:val="center"/>
        <w:rPr>
          <w:rFonts w:ascii="Times New Roman" w:hAnsi="Times New Roman" w:cs="Times New Roman"/>
          <w:b/>
          <w:sz w:val="36"/>
          <w:szCs w:val="36"/>
        </w:rPr>
      </w:pPr>
      <w:r>
        <w:rPr>
          <w:rFonts w:ascii="Times New Roman" w:hAnsi="Times New Roman" w:cs="Times New Roman"/>
          <w:b/>
          <w:sz w:val="36"/>
          <w:szCs w:val="36"/>
        </w:rPr>
        <w:t xml:space="preserve">Časť D - </w:t>
      </w:r>
      <w:r w:rsidR="008E0AA2" w:rsidRPr="00C31ED0">
        <w:rPr>
          <w:rFonts w:ascii="Times New Roman" w:hAnsi="Times New Roman" w:cs="Times New Roman"/>
          <w:b/>
          <w:sz w:val="36"/>
          <w:szCs w:val="36"/>
        </w:rPr>
        <w:t>Podmienky účasti</w:t>
      </w:r>
    </w:p>
    <w:p w14:paraId="1A4DF921" w14:textId="77777777" w:rsidR="008E0AA2" w:rsidRDefault="008E0AA2" w:rsidP="008E0AA2">
      <w:pPr>
        <w:spacing w:after="240"/>
        <w:rPr>
          <w:rFonts w:ascii="Times New Roman" w:hAnsi="Times New Roman" w:cs="Times New Roman"/>
          <w:b/>
          <w:sz w:val="28"/>
          <w:szCs w:val="28"/>
        </w:rPr>
      </w:pPr>
    </w:p>
    <w:p w14:paraId="3C5B32AB" w14:textId="77777777" w:rsidR="008E0AA2" w:rsidRDefault="008E0AA2" w:rsidP="008E0AA2">
      <w:pPr>
        <w:spacing w:after="240"/>
        <w:jc w:val="both"/>
        <w:rPr>
          <w:rFonts w:ascii="Times New Roman" w:hAnsi="Times New Roman" w:cs="Times New Roman"/>
          <w:sz w:val="22"/>
          <w:szCs w:val="22"/>
        </w:rPr>
      </w:pPr>
    </w:p>
    <w:p w14:paraId="11B3A623" w14:textId="77777777" w:rsidR="00C31ED0" w:rsidRDefault="00C31ED0" w:rsidP="008E0AA2">
      <w:pPr>
        <w:spacing w:after="240"/>
        <w:jc w:val="both"/>
        <w:rPr>
          <w:rFonts w:ascii="Times New Roman" w:hAnsi="Times New Roman" w:cs="Times New Roman"/>
          <w:sz w:val="22"/>
          <w:szCs w:val="22"/>
        </w:rPr>
      </w:pPr>
    </w:p>
    <w:p w14:paraId="33F9424A" w14:textId="77777777" w:rsidR="00C31ED0" w:rsidRDefault="00C31ED0" w:rsidP="008E0AA2">
      <w:pPr>
        <w:spacing w:after="240"/>
        <w:jc w:val="both"/>
        <w:rPr>
          <w:rFonts w:ascii="Times New Roman" w:hAnsi="Times New Roman" w:cs="Times New Roman"/>
          <w:sz w:val="22"/>
          <w:szCs w:val="22"/>
        </w:rPr>
      </w:pPr>
    </w:p>
    <w:p w14:paraId="7C70E5D9" w14:textId="77777777" w:rsidR="00C31ED0" w:rsidRDefault="00C31ED0" w:rsidP="008E0AA2">
      <w:pPr>
        <w:spacing w:after="240"/>
        <w:jc w:val="both"/>
        <w:rPr>
          <w:rFonts w:ascii="Times New Roman" w:hAnsi="Times New Roman" w:cs="Times New Roman"/>
          <w:sz w:val="22"/>
          <w:szCs w:val="22"/>
        </w:rPr>
      </w:pPr>
    </w:p>
    <w:p w14:paraId="122EB54A" w14:textId="77777777" w:rsidR="00C31ED0" w:rsidRPr="008E0AA2" w:rsidRDefault="00C31ED0" w:rsidP="008E0AA2">
      <w:pPr>
        <w:spacing w:after="240"/>
        <w:jc w:val="both"/>
        <w:rPr>
          <w:rFonts w:ascii="Times New Roman" w:hAnsi="Times New Roman" w:cs="Times New Roman"/>
          <w:sz w:val="22"/>
          <w:szCs w:val="22"/>
        </w:rPr>
      </w:pPr>
      <w:r>
        <w:rPr>
          <w:rFonts w:ascii="Times New Roman" w:hAnsi="Times New Roman" w:cs="Times New Roman"/>
          <w:sz w:val="22"/>
          <w:szCs w:val="22"/>
        </w:rPr>
        <w:br w:type="column"/>
      </w:r>
    </w:p>
    <w:p w14:paraId="24ED8A50" w14:textId="77777777" w:rsidR="008E0AA2" w:rsidRPr="008E0AA2" w:rsidRDefault="008E0AA2" w:rsidP="008E0AA2">
      <w:pPr>
        <w:pStyle w:val="Odsekzoznamu"/>
        <w:numPr>
          <w:ilvl w:val="0"/>
          <w:numId w:val="6"/>
        </w:numPr>
        <w:tabs>
          <w:tab w:val="clear" w:pos="720"/>
        </w:tabs>
        <w:spacing w:before="360" w:after="360"/>
        <w:ind w:hanging="720"/>
        <w:contextualSpacing w:val="0"/>
        <w:jc w:val="both"/>
        <w:rPr>
          <w:rFonts w:ascii="Times New Roman" w:hAnsi="Times New Roman" w:cs="Times New Roman"/>
          <w:b/>
          <w:sz w:val="22"/>
          <w:szCs w:val="22"/>
        </w:rPr>
      </w:pPr>
      <w:r>
        <w:rPr>
          <w:rFonts w:ascii="Times New Roman" w:hAnsi="Times New Roman" w:cs="Times New Roman"/>
          <w:b/>
          <w:sz w:val="22"/>
          <w:szCs w:val="22"/>
        </w:rPr>
        <w:t>OSOBNÉ POSTAVENIE UCHÁDZAČA</w:t>
      </w:r>
    </w:p>
    <w:p w14:paraId="47DFDBE7"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Uchádzač musí spĺňať podmienky účasti uvedené v § 32 ods. 1 zákona č. 343/2015 Z. z. o verejnom obstarávaní a o zmene a doplnení niektorých zákonov v znení neskorších predpisov (ďalej len „ZVO"). Ich splnenie preukáže podľa § 32 ods. 2, ods. 4, ods. 5, </w:t>
      </w:r>
      <w:r w:rsidR="00BF20FF">
        <w:rPr>
          <w:rFonts w:ascii="Times New Roman" w:hAnsi="Times New Roman" w:cs="Times New Roman"/>
          <w:sz w:val="22"/>
          <w:szCs w:val="22"/>
        </w:rPr>
        <w:t xml:space="preserve">ods. 7 a 8, </w:t>
      </w:r>
      <w:r w:rsidRPr="008E0AA2">
        <w:rPr>
          <w:rFonts w:ascii="Times New Roman" w:hAnsi="Times New Roman" w:cs="Times New Roman"/>
          <w:sz w:val="22"/>
          <w:szCs w:val="22"/>
        </w:rPr>
        <w:t>§ 152 ods. 1 (zápis do zoznamu hospodárskych subjektov) alebo § 152 ods. 3 ZVO.</w:t>
      </w:r>
    </w:p>
    <w:p w14:paraId="720419A3"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5 alebo 7 ZVO alebo iný rovnocenný zápis alebo potvrdenie o zápise podľa § 152 ods. 3 ZVO.</w:t>
      </w:r>
    </w:p>
    <w:p w14:paraId="2258718F"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V súlade s § 32 ods. 3 ZVO uchádzač nie je povinný predkladať doklady podľa § 32 ods. 2 ZVO, ak verejný obstarávateľ je oprávnený použiť údaje z informačných systémov verejnej správy podľa osobitného predpisu. V súvislosti s uvedeným verejný obstarávateľ uvádza, že z dôvodu použitia údajov z informačných systémov verejnej správy uchádzači so sídlom/miestom podnikania v Slovenskej republike, a ktorých údaje sú vedené v informačných systémoch verejnej správy Slovenskej republiky nie sú povinní predložiť nasledovné doklady:</w:t>
      </w:r>
    </w:p>
    <w:p w14:paraId="360951CB"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Doklad podľa § 32 ods. 2 písm. a) zákona o verejnom obstarávaní</w:t>
      </w:r>
    </w:p>
    <w:p w14:paraId="1E93A03B"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Doklad podľa § 32 ods. 2 písm. b) zákona o verejnom obstarávaní</w:t>
      </w:r>
    </w:p>
    <w:p w14:paraId="2076B5DA"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Doklad podľa § 32 ods. 2 písm. c) zákona o verejnom obstarávaní</w:t>
      </w:r>
    </w:p>
    <w:p w14:paraId="052B2B70"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Doklad podľa § 32 ods. 2 písm. d) zákona o verejnom obstarávaní </w:t>
      </w:r>
    </w:p>
    <w:p w14:paraId="642E26DA"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Doklad podľa § 32 ods. 2 písm. e) zákona o verejnom obstarávaní</w:t>
      </w:r>
    </w:p>
    <w:p w14:paraId="599557C1"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Ak uchádzač alebo záujemca pre účely preukázania splnenia podmienky účasti podľa § 32 ods. 1 písm. a) ZVO nepredloží doklad podľa § 32 ods. 2 písm. a) ZVO, je povinný poskytnúť verejnému obstarávateľovi údaje potrebné na vyžiadanie výpisu z registra trestov. V takom prípade 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meno, priezvisko, rodné priezvisko, dátum narodenia, rodné číslo, číslo občianskeho preukazu alebo cestovného pasu.</w:t>
      </w:r>
    </w:p>
    <w:p w14:paraId="515469CB"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Uchádzači so sídlom/miestom podnikania mimo Slovenskej republiky sú povinní postupovať v zmysle bodu 1.1 týchto podmienok účasti.</w:t>
      </w:r>
    </w:p>
    <w:p w14:paraId="2E6B730E"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ab/>
        <w:t>Skupina dodávateľov preukazuje splnenie podmienok účasti vo verejnom obstarávaní týkajúcich sa osobného postavenia za každého člena skupiny osobitne.</w:t>
      </w:r>
    </w:p>
    <w:p w14:paraId="6B299F8C" w14:textId="77777777" w:rsidR="008E0AA2" w:rsidRP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lastRenderedPageBreak/>
        <w:t>Uchádzač preukáže osobné postavenie za každú inú osobu podľa § 33 ods. 2 ZVO a podľa § 34 ods. 3 ZVO a podľa ustanovenia § 41 ods. 1 písm. b) ZVO aj za každého navrhovaného subdodávateľa.</w:t>
      </w:r>
    </w:p>
    <w:p w14:paraId="36DAB84B" w14:textId="77777777" w:rsidR="008E0AA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8E0AA2">
        <w:rPr>
          <w:rFonts w:ascii="Times New Roman" w:hAnsi="Times New Roman" w:cs="Times New Roman"/>
          <w:sz w:val="22"/>
          <w:szCs w:val="22"/>
        </w:rPr>
        <w:t>Ak má uchádzač alebo záujemca sídlo, miesto podnikania alebo obvyklý pobyt mimo územia Slovenskej republiky a štát jeho sídla, miesta podnikania alebo obvyklého pobytu nevydáva niektoré z dokladov potrebných na preukázanie splnenia podmienok účasti alebo nevydáva ani rovnocenné doklady, možno ich nahradiť čestným vyhlásením podľa predpisov platných v štáte jeho sídla, miesta podnikania alebo obvyklého pobytu.</w:t>
      </w:r>
    </w:p>
    <w:p w14:paraId="145ACEEC" w14:textId="7F360F2E" w:rsidR="00A763BF" w:rsidRPr="00A763BF" w:rsidRDefault="00A763BF" w:rsidP="00A763BF">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Pr>
          <w:rFonts w:ascii="Times New Roman" w:hAnsi="Times New Roman" w:cs="Times New Roman"/>
          <w:sz w:val="22"/>
          <w:szCs w:val="22"/>
        </w:rPr>
        <w:t>Pre účely preukázania splnenia podmienky účasti podľa ustanovenia § 32 ods. 7 a 8 ZVO môže uchádzač, osoba</w:t>
      </w:r>
      <w:r w:rsidRPr="008E0AA2">
        <w:rPr>
          <w:rFonts w:ascii="Times New Roman" w:hAnsi="Times New Roman" w:cs="Times New Roman"/>
          <w:sz w:val="22"/>
          <w:szCs w:val="22"/>
        </w:rPr>
        <w:t xml:space="preserve"> podľa § 33 ods. 2 ZVO a podľa § 34 ods. 3 ZVO a</w:t>
      </w:r>
      <w:r>
        <w:rPr>
          <w:rFonts w:ascii="Times New Roman" w:hAnsi="Times New Roman" w:cs="Times New Roman"/>
          <w:sz w:val="22"/>
          <w:szCs w:val="22"/>
        </w:rPr>
        <w:t xml:space="preserve"> každý navrhovaný subdodávateľ </w:t>
      </w:r>
      <w:r w:rsidRPr="008E0AA2">
        <w:rPr>
          <w:rFonts w:ascii="Times New Roman" w:hAnsi="Times New Roman" w:cs="Times New Roman"/>
          <w:sz w:val="22"/>
          <w:szCs w:val="22"/>
        </w:rPr>
        <w:t xml:space="preserve">podľa ustanovenia § 41 ods. 1 písm. b) ZVO </w:t>
      </w:r>
      <w:r>
        <w:rPr>
          <w:rFonts w:ascii="Times New Roman" w:hAnsi="Times New Roman" w:cs="Times New Roman"/>
          <w:sz w:val="22"/>
          <w:szCs w:val="22"/>
        </w:rPr>
        <w:t>využiť vzor formuláru podľa Prílohy F4 Súťažných podkladov.</w:t>
      </w:r>
    </w:p>
    <w:p w14:paraId="7FDCE797" w14:textId="77777777" w:rsidR="008E0AA2" w:rsidRPr="008E0AA2" w:rsidRDefault="008E0AA2" w:rsidP="008E0AA2">
      <w:pPr>
        <w:pStyle w:val="Odsekzoznamu"/>
        <w:numPr>
          <w:ilvl w:val="0"/>
          <w:numId w:val="6"/>
        </w:numPr>
        <w:tabs>
          <w:tab w:val="clear" w:pos="720"/>
        </w:tabs>
        <w:spacing w:before="360" w:after="360"/>
        <w:ind w:hanging="720"/>
        <w:contextualSpacing w:val="0"/>
        <w:jc w:val="both"/>
        <w:rPr>
          <w:rFonts w:ascii="Times New Roman" w:hAnsi="Times New Roman" w:cs="Times New Roman"/>
          <w:b/>
          <w:sz w:val="22"/>
          <w:szCs w:val="22"/>
        </w:rPr>
      </w:pPr>
      <w:r w:rsidRPr="008E0AA2">
        <w:rPr>
          <w:rFonts w:ascii="Times New Roman" w:hAnsi="Times New Roman" w:cs="Times New Roman"/>
          <w:b/>
          <w:sz w:val="22"/>
          <w:szCs w:val="22"/>
        </w:rPr>
        <w:t>FINANČNÉ A EKONOMICKÉ POSTAVENIE:</w:t>
      </w:r>
    </w:p>
    <w:p w14:paraId="58AD7D98" w14:textId="77777777" w:rsidR="008E0AA2" w:rsidRPr="008E0AA2" w:rsidRDefault="008E0AA2" w:rsidP="008E0AA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Uchádzač v ponuke predloží nasledovné doklady, ktorými preukazuje svoje finančné a ekonomické postavenie v zmysle § 33 ods. 1 zákona o verejnom obstarávaní:</w:t>
      </w:r>
    </w:p>
    <w:p w14:paraId="12B8263C" w14:textId="77777777" w:rsidR="008E0AA2" w:rsidRPr="00585E4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b/>
          <w:sz w:val="22"/>
          <w:szCs w:val="22"/>
        </w:rPr>
      </w:pPr>
      <w:r w:rsidRPr="00585E42">
        <w:rPr>
          <w:rFonts w:ascii="Times New Roman" w:hAnsi="Times New Roman" w:cs="Times New Roman"/>
          <w:b/>
          <w:sz w:val="22"/>
          <w:szCs w:val="22"/>
        </w:rPr>
        <w:t>Podmienky časti podľa § 33 ods. 1 písm. a) ZVO – vyjadrene banky alebo pobočky zahraničnej banky.</w:t>
      </w:r>
    </w:p>
    <w:p w14:paraId="3D9F827F"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Uchádzač musí preukázať prístup k dostačujúcim finančným prostriedkom pre zaistenie finančných tokov po dobu trvania zmluvy/zákazky minimálne vo výške </w:t>
      </w:r>
      <w:r w:rsidRPr="00816A35">
        <w:rPr>
          <w:rFonts w:ascii="Times New Roman" w:hAnsi="Times New Roman" w:cs="Times New Roman"/>
          <w:b/>
          <w:sz w:val="22"/>
          <w:szCs w:val="22"/>
        </w:rPr>
        <w:t>6 500</w:t>
      </w:r>
      <w:r w:rsidR="00816A35" w:rsidRPr="00816A35">
        <w:rPr>
          <w:rFonts w:ascii="Times New Roman" w:hAnsi="Times New Roman" w:cs="Times New Roman"/>
          <w:b/>
          <w:sz w:val="22"/>
          <w:szCs w:val="22"/>
        </w:rPr>
        <w:t> </w:t>
      </w:r>
      <w:r w:rsidRPr="00816A35">
        <w:rPr>
          <w:rFonts w:ascii="Times New Roman" w:hAnsi="Times New Roman" w:cs="Times New Roman"/>
          <w:b/>
          <w:sz w:val="22"/>
          <w:szCs w:val="22"/>
        </w:rPr>
        <w:t>000</w:t>
      </w:r>
      <w:r w:rsidR="00816A35" w:rsidRPr="00816A35">
        <w:rPr>
          <w:rFonts w:ascii="Times New Roman" w:hAnsi="Times New Roman" w:cs="Times New Roman"/>
          <w:b/>
          <w:sz w:val="22"/>
          <w:szCs w:val="22"/>
        </w:rPr>
        <w:t>,-</w:t>
      </w:r>
      <w:r w:rsidRPr="00816A35">
        <w:rPr>
          <w:rFonts w:ascii="Times New Roman" w:hAnsi="Times New Roman" w:cs="Times New Roman"/>
          <w:b/>
          <w:sz w:val="22"/>
          <w:szCs w:val="22"/>
        </w:rPr>
        <w:t xml:space="preserve"> </w:t>
      </w:r>
      <w:r w:rsidR="00816A35" w:rsidRPr="00816A35">
        <w:rPr>
          <w:rFonts w:ascii="Times New Roman" w:hAnsi="Times New Roman" w:cs="Times New Roman"/>
          <w:b/>
          <w:sz w:val="22"/>
          <w:szCs w:val="22"/>
        </w:rPr>
        <w:t>EUR</w:t>
      </w:r>
      <w:r w:rsidRPr="008E0AA2">
        <w:rPr>
          <w:rFonts w:ascii="Times New Roman" w:hAnsi="Times New Roman" w:cs="Times New Roman"/>
          <w:sz w:val="22"/>
          <w:szCs w:val="22"/>
        </w:rPr>
        <w:t>.</w:t>
      </w:r>
    </w:p>
    <w:p w14:paraId="2B5E0C8B" w14:textId="77777777" w:rsid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Prístup k dostačujúcim finančným prostriedkom pre zaistenie finančných tokov po dobu trvania zmluvy/zákazky je možné preukázať (i) predložením výpisu z účtu, na ktorom budú vedené finančné prostriedky v požadovanej výške alebo (ii) predložením prísľubu (postačuje nezáväzný prísľub) banky o poskytnutí  úveru v požadovanej výške. V prípade preukázania splnenia danej podmienky formou úverového prísľubu  musí uchádzač preukázať, že v čase predkladania ponuky má zabezpečené, že v prípade potreby mu banka poskytne úver v požadovanej výške.</w:t>
      </w:r>
    </w:p>
    <w:p w14:paraId="5213F222" w14:textId="77777777" w:rsidR="00E66B81" w:rsidRPr="00151DBA" w:rsidRDefault="00E66B81" w:rsidP="00E66B81">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151DBA">
        <w:rPr>
          <w:rFonts w:ascii="Times New Roman" w:hAnsi="Times New Roman" w:cs="Times New Roman"/>
          <w:sz w:val="22"/>
          <w:szCs w:val="22"/>
        </w:rPr>
        <w:t>V prípade, ak uchádzač nedokáže z objektívnych dôvodov poskytnúť na preukázanie ekonomického a finančného postavenia dokument určený obstarávateľom, postupuje podľa § 33 ods. 4 zákona o verejnom obstarávaní.</w:t>
      </w:r>
    </w:p>
    <w:p w14:paraId="623CE0AF" w14:textId="77777777" w:rsidR="00E66B81" w:rsidRPr="00816A35" w:rsidRDefault="00E66B81" w:rsidP="00816A35">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151DBA">
        <w:rPr>
          <w:rFonts w:ascii="Times New Roman" w:hAnsi="Times New Roman" w:cs="Times New Roman"/>
          <w:sz w:val="22"/>
          <w:szCs w:val="22"/>
        </w:rPr>
        <w:t>Skupina dodávateľov preukazuje splnenie podmienok účasti vo verejnom obstarávaní týkajúcich sa finančného a ekonomického postavenia spoločne.</w:t>
      </w:r>
    </w:p>
    <w:p w14:paraId="54848DB6" w14:textId="77777777" w:rsidR="008E0AA2" w:rsidRPr="008E0AA2" w:rsidRDefault="008E0AA2" w:rsidP="008E0AA2">
      <w:pPr>
        <w:pStyle w:val="Odsekzoznamu"/>
        <w:numPr>
          <w:ilvl w:val="0"/>
          <w:numId w:val="6"/>
        </w:numPr>
        <w:tabs>
          <w:tab w:val="clear" w:pos="720"/>
        </w:tabs>
        <w:spacing w:before="360" w:after="360"/>
        <w:ind w:hanging="720"/>
        <w:contextualSpacing w:val="0"/>
        <w:jc w:val="both"/>
        <w:rPr>
          <w:rFonts w:ascii="Times New Roman" w:hAnsi="Times New Roman" w:cs="Times New Roman"/>
          <w:b/>
          <w:sz w:val="22"/>
          <w:szCs w:val="22"/>
        </w:rPr>
      </w:pPr>
      <w:r w:rsidRPr="008E0AA2">
        <w:rPr>
          <w:rFonts w:ascii="Times New Roman" w:hAnsi="Times New Roman" w:cs="Times New Roman"/>
          <w:b/>
          <w:sz w:val="22"/>
          <w:szCs w:val="22"/>
        </w:rPr>
        <w:t>TECHNICKÁ A ODBORNÁ SPÔSOBILOSŤ</w:t>
      </w:r>
    </w:p>
    <w:p w14:paraId="7C3D6DC8" w14:textId="77777777" w:rsidR="008E0AA2" w:rsidRPr="008E0AA2" w:rsidRDefault="008E0AA2" w:rsidP="008E0AA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Uchádzač v ponuke predloží nasledovné doklady, ktorými preukazuje svoju technickú alebo odbornú spôsobilosť vo verejnom obstarávaní:</w:t>
      </w:r>
    </w:p>
    <w:p w14:paraId="5BA99CB9" w14:textId="77777777" w:rsidR="008E0AA2" w:rsidRPr="00585E4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b/>
          <w:sz w:val="22"/>
          <w:szCs w:val="22"/>
        </w:rPr>
      </w:pPr>
      <w:r w:rsidRPr="00585E42">
        <w:rPr>
          <w:rFonts w:ascii="Times New Roman" w:hAnsi="Times New Roman" w:cs="Times New Roman"/>
          <w:b/>
          <w:sz w:val="22"/>
          <w:szCs w:val="22"/>
        </w:rPr>
        <w:t>Podmienky účasti podľa § 34 ods. 1 písm. a) ZVO</w:t>
      </w:r>
    </w:p>
    <w:p w14:paraId="14EE43D8"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Uchádzač predloží zoznam poskytnutých služieb rovnakého alebo podobného charakteru ako je predmet zákazky za predchádzajúce tri roky od vyhlásenia verejného obstarávania (ďalej len </w:t>
      </w:r>
      <w:r w:rsidRPr="008E0AA2">
        <w:rPr>
          <w:rFonts w:ascii="Times New Roman" w:hAnsi="Times New Roman" w:cs="Times New Roman"/>
          <w:sz w:val="22"/>
          <w:szCs w:val="22"/>
        </w:rPr>
        <w:lastRenderedPageBreak/>
        <w:t>„</w:t>
      </w:r>
      <w:r w:rsidRPr="00816A35">
        <w:rPr>
          <w:rFonts w:ascii="Times New Roman" w:hAnsi="Times New Roman" w:cs="Times New Roman"/>
          <w:b/>
          <w:sz w:val="22"/>
          <w:szCs w:val="22"/>
        </w:rPr>
        <w:t>Referenčné obdobie</w:t>
      </w:r>
      <w:r w:rsidRPr="008E0AA2">
        <w:rPr>
          <w:rFonts w:ascii="Times New Roman" w:hAnsi="Times New Roman" w:cs="Times New Roman"/>
          <w:sz w:val="22"/>
          <w:szCs w:val="22"/>
        </w:rPr>
        <w:t xml:space="preserve">“) s uvedením cien, lehôt dodania a odberateľov; dokladom je referencia, ak odberateľom bol verejný obstarávateľ alebo obstarávateľ podľa tohto zákona. </w:t>
      </w:r>
    </w:p>
    <w:p w14:paraId="13AD78C2"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V prípade, ak poskytnutú službu realizoval uchádzač ako člen skupiny dodávateľov alebo ako subdodávateľ, verejný obstarávateľ odporúča, aby uchádzač v zozname poskytnutých služieb osobitne uviedol plnenia ako aj ich hodnotu, ktoré boli realizované priamo uchádzačom. </w:t>
      </w:r>
    </w:p>
    <w:p w14:paraId="00FE624D"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V prípade, ak poskytnutie služieb realizoval záujemca ako člen združenia alebo ako subdodávateľ, vyčísli a započíta iba finančný objem, poskytnutý ním samotným.</w:t>
      </w:r>
    </w:p>
    <w:p w14:paraId="3A0DE3D0"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Zo zoznamu poskytnutých služieb musí vyplynúť, že uchádzač v Referenčnom období úspešne poskytol, resp. dokončil služby (projekty), ktoré spĺňajú nižšie uvedené požiadavky (ďalej len „</w:t>
      </w:r>
      <w:r w:rsidRPr="00816A35">
        <w:rPr>
          <w:rFonts w:ascii="Times New Roman" w:hAnsi="Times New Roman" w:cs="Times New Roman"/>
          <w:b/>
          <w:sz w:val="22"/>
          <w:szCs w:val="22"/>
        </w:rPr>
        <w:t>Projekty</w:t>
      </w:r>
      <w:r w:rsidRPr="008E0AA2">
        <w:rPr>
          <w:rFonts w:ascii="Times New Roman" w:hAnsi="Times New Roman" w:cs="Times New Roman"/>
          <w:sz w:val="22"/>
          <w:szCs w:val="22"/>
        </w:rPr>
        <w:t xml:space="preserve">“): </w:t>
      </w:r>
    </w:p>
    <w:p w14:paraId="41E9731D"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Minimálne jeden Projekt, ktorý spĺňa všetky nižšie uvedené minimálne požiadavky:</w:t>
      </w:r>
    </w:p>
    <w:p w14:paraId="33F1E897"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predmetom realizácie Projektu bolo vytvorenie informačného systému, ktorého predmetom (funkciou) bola </w:t>
      </w:r>
      <w:r w:rsidRPr="00816A35">
        <w:rPr>
          <w:rFonts w:ascii="Times New Roman" w:hAnsi="Times New Roman" w:cs="Times New Roman"/>
          <w:b/>
          <w:sz w:val="22"/>
          <w:szCs w:val="22"/>
        </w:rPr>
        <w:t>Integrácia</w:t>
      </w:r>
      <w:r w:rsidR="00816A35">
        <w:rPr>
          <w:rStyle w:val="Odkaznapoznmkupodiarou"/>
          <w:rFonts w:ascii="Times New Roman" w:hAnsi="Times New Roman" w:cs="Times New Roman"/>
          <w:b/>
          <w:sz w:val="22"/>
          <w:szCs w:val="22"/>
        </w:rPr>
        <w:footnoteReference w:id="1"/>
      </w:r>
      <w:r w:rsidRPr="008E0AA2">
        <w:rPr>
          <w:rFonts w:ascii="Times New Roman" w:hAnsi="Times New Roman" w:cs="Times New Roman"/>
          <w:sz w:val="22"/>
          <w:szCs w:val="22"/>
        </w:rPr>
        <w:t xml:space="preserve">  služby verejnej osobnej dopravy;</w:t>
      </w:r>
    </w:p>
    <w:p w14:paraId="6274C684"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Integrácia služby verejnej osobnej dopravy v rámci tohto Projektu bola zabezpečená minimálne na regionálnej úrovni integrujúcej minimálne 6 miest a minimálne 15 dopravcov;</w:t>
      </w:r>
    </w:p>
    <w:p w14:paraId="34F091BE"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predmetom Projektu bola Integrácia rôznych prostriedkov verejnej osobnej dopravy, minimálne (kumulatívne) autobusovej dopravy, mestskej hromadnej dopravy a železničnej dopravy;</w:t>
      </w:r>
    </w:p>
    <w:p w14:paraId="0C13ED0F"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súčasťou Projektu bola zároveň dodávka platobnej brány alebo integrácia (nie Integrácia ako definovaný pojem) na platobnú bránu;</w:t>
      </w:r>
    </w:p>
    <w:p w14:paraId="737A136A"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súčasťou Projektu bolo zároveň zabezpečenie funkcie </w:t>
      </w:r>
      <w:r w:rsidRPr="00816A35">
        <w:rPr>
          <w:rFonts w:ascii="Times New Roman" w:hAnsi="Times New Roman" w:cs="Times New Roman"/>
          <w:b/>
          <w:sz w:val="22"/>
          <w:szCs w:val="22"/>
        </w:rPr>
        <w:t>Klíringových služieb</w:t>
      </w:r>
      <w:r w:rsidR="00816A35">
        <w:rPr>
          <w:rStyle w:val="Odkaznapoznmkupodiarou"/>
          <w:rFonts w:ascii="Times New Roman" w:hAnsi="Times New Roman" w:cs="Times New Roman"/>
          <w:b/>
          <w:sz w:val="22"/>
          <w:szCs w:val="22"/>
        </w:rPr>
        <w:footnoteReference w:id="2"/>
      </w:r>
      <w:r w:rsidRPr="008E0AA2">
        <w:rPr>
          <w:rFonts w:ascii="Times New Roman" w:hAnsi="Times New Roman" w:cs="Times New Roman"/>
          <w:sz w:val="22"/>
          <w:szCs w:val="22"/>
        </w:rPr>
        <w:t>;</w:t>
      </w:r>
    </w:p>
    <w:p w14:paraId="2D47C7D7"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informačný systém dodaný v rámci Projektu bol zameraný na účty cestujúcich podľa princípu </w:t>
      </w:r>
      <w:r w:rsidRPr="00816A35">
        <w:rPr>
          <w:rFonts w:ascii="Times New Roman" w:hAnsi="Times New Roman" w:cs="Times New Roman"/>
          <w:b/>
          <w:sz w:val="22"/>
          <w:szCs w:val="22"/>
        </w:rPr>
        <w:t>Account Based Ticketing</w:t>
      </w:r>
      <w:r w:rsidR="00816A35">
        <w:rPr>
          <w:rStyle w:val="Odkaznapoznmkupodiarou"/>
          <w:rFonts w:ascii="Times New Roman" w:hAnsi="Times New Roman" w:cs="Times New Roman"/>
          <w:b/>
          <w:sz w:val="22"/>
          <w:szCs w:val="22"/>
        </w:rPr>
        <w:footnoteReference w:id="3"/>
      </w:r>
      <w:r w:rsidRPr="008E0AA2">
        <w:rPr>
          <w:rFonts w:ascii="Times New Roman" w:hAnsi="Times New Roman" w:cs="Times New Roman"/>
          <w:sz w:val="22"/>
          <w:szCs w:val="22"/>
        </w:rPr>
        <w:t>, pričom musel zabezpečovať, aby všetky informácie o preprave cestujúcich a o získaní práv na využívanie dopravných služieb boli zaznamenávané v centrálnom systéme v prípade fungujúceho spojenia vozidla a cestujúceho do 15 sekúnd a v prípade výpadku spojenia, aby boli tieto informácie synchronizované v centrálnom systéme do 15 sekúnd od obnovenia spojenia;</w:t>
      </w:r>
    </w:p>
    <w:p w14:paraId="35CA402C"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predmetom Projektu bolo dodanie webovej mobilnej aplikácie (pre smartfóny) umožňujúcej plánovanie a nákup služieb súvisiacich s verejnou osobnou dopravou. </w:t>
      </w:r>
      <w:r w:rsidRPr="008E0AA2">
        <w:rPr>
          <w:rFonts w:ascii="Times New Roman" w:hAnsi="Times New Roman" w:cs="Times New Roman"/>
          <w:sz w:val="22"/>
          <w:szCs w:val="22"/>
        </w:rPr>
        <w:lastRenderedPageBreak/>
        <w:t>Táto webová mobilná aplikácia musela byť poskytovaná aspoň v dvoch verziách pre smartfóny s operačným systémom Android a iOS;</w:t>
      </w:r>
    </w:p>
    <w:p w14:paraId="2B0CB340"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predmetom Projektu bolo vytvorenie portálu pre cestujúcich podporujúceho online predaj cestovných lístkov a prístup k informáciám o transakciách a ich histórii, ako aj k informáciám o cestovnom pláne a zabezpečujúceho úplný prístup k službám (vrátane sťažností a reklamácií) a umožňujúceho cestujúcim vybaviť všetky potrebné úlohy bez potreby osobnej návštevy kancelárií prevádzkovateľa systému či dopravcu.</w:t>
      </w:r>
    </w:p>
    <w:p w14:paraId="21455ADF" w14:textId="77777777" w:rsidR="008E0AA2" w:rsidRPr="008E0AA2" w:rsidRDefault="008E0AA2" w:rsidP="008E0AA2">
      <w:pPr>
        <w:pStyle w:val="Odsekzoznamu"/>
        <w:numPr>
          <w:ilvl w:val="4"/>
          <w:numId w:val="6"/>
        </w:numPr>
        <w:tabs>
          <w:tab w:val="clear" w:pos="2160"/>
        </w:tabs>
        <w:spacing w:after="240"/>
        <w:ind w:left="1843"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Informačný systém bol v rámci Projektu vybudovaný a v produkčnej prevádzke prevádzkovaný na cloudovej infraštruktúre. </w:t>
      </w:r>
    </w:p>
    <w:p w14:paraId="7CBBCE76"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Minimálne jeden Projekt informačného systému, ktorého predmetom bola integrácia systémov medzi organizáciami a ich prevádzka na úrovni výmeny údajov prostredníctvom integračnej platformy. Predmetom integrácie v rámci tohto Projektu musela byť integrácia informačného systému na min. 20 rôznych organizácií resp. subjektov.</w:t>
      </w:r>
    </w:p>
    <w:p w14:paraId="4BEC8093" w14:textId="77777777" w:rsidR="008E0AA2" w:rsidRPr="008E0AA2" w:rsidRDefault="008E0AA2" w:rsidP="008E0AA2">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Minimálne jeden Projekt predmetom ktorého bolo poskytovanie služieb prevádzkovej a servisnej podpory (SLA) informačného systému 24 hodín denne, 7 dní v týždni, 365 dní v roku v hodnote minimálne 1.600.000,- Eur bez DPH počas Referenčného obdobia.</w:t>
      </w:r>
    </w:p>
    <w:p w14:paraId="4B0D5D0C"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Pre účely preukázania splnenia podmienok účasti vo vzťahu k požiadavkám na referencie uchádzač ako súčasť ponuky predloží vyplnené formuláre podľa vzoru, ktorý tvorí </w:t>
      </w:r>
      <w:r w:rsidR="005D59B5">
        <w:rPr>
          <w:rFonts w:ascii="Times New Roman" w:hAnsi="Times New Roman" w:cs="Times New Roman"/>
          <w:sz w:val="22"/>
          <w:szCs w:val="22"/>
        </w:rPr>
        <w:t>Prílohu F2 Súťažných podkladov.</w:t>
      </w:r>
    </w:p>
    <w:p w14:paraId="5AB76070" w14:textId="77777777" w:rsidR="008E0AA2" w:rsidRPr="00585E42" w:rsidRDefault="008E0AA2" w:rsidP="008E0AA2">
      <w:pPr>
        <w:pStyle w:val="Odsekzoznamu"/>
        <w:numPr>
          <w:ilvl w:val="1"/>
          <w:numId w:val="6"/>
        </w:numPr>
        <w:tabs>
          <w:tab w:val="clear" w:pos="1080"/>
        </w:tabs>
        <w:spacing w:after="240"/>
        <w:ind w:left="709" w:hanging="709"/>
        <w:contextualSpacing w:val="0"/>
        <w:jc w:val="both"/>
        <w:rPr>
          <w:rFonts w:ascii="Times New Roman" w:hAnsi="Times New Roman" w:cs="Times New Roman"/>
          <w:b/>
          <w:sz w:val="22"/>
          <w:szCs w:val="22"/>
        </w:rPr>
      </w:pPr>
      <w:r w:rsidRPr="00585E42">
        <w:rPr>
          <w:rFonts w:ascii="Times New Roman" w:hAnsi="Times New Roman" w:cs="Times New Roman"/>
          <w:b/>
          <w:sz w:val="22"/>
          <w:szCs w:val="22"/>
        </w:rPr>
        <w:t>Podmienky účasti podľa § 34 ods. 1 písm. g) ZVO</w:t>
      </w:r>
    </w:p>
    <w:p w14:paraId="47FB82AD"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Verejný obstarávateľ požaduje predložiť údaje o vzdelaní a odbornej praxi alebo o odbornej kvalifikácii osôb určených na plnenie zmluvy alebo riadiacich zamestnancov (experti):</w:t>
      </w:r>
    </w:p>
    <w:p w14:paraId="16D10676"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Pre účely preukázania splnenia podmienok účasti jednotlivých expertov uchádzač predloží</w:t>
      </w:r>
    </w:p>
    <w:p w14:paraId="6BF187A6" w14:textId="77777777" w:rsidR="008E0AA2" w:rsidRPr="008E0AA2" w:rsidRDefault="008E0AA2" w:rsidP="005D59B5">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za každého experta vlastnoručne podpísané vyhlásenie podľa vzoru, ktorý tvorí Prílohu F3 súťažných podkladov;</w:t>
      </w:r>
    </w:p>
    <w:p w14:paraId="2BEDE0A5" w14:textId="77777777" w:rsidR="008E0AA2" w:rsidRPr="008E0AA2" w:rsidRDefault="008E0AA2" w:rsidP="005D59B5">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ak je to relevantné tak skeny príslušných dokladov o vzdelaní / certifikátov preukazujúcich splnenie stanovených podmienok účasti.</w:t>
      </w:r>
    </w:p>
    <w:p w14:paraId="5FCFDECD"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Osoba každého kľúčového experta, ktorá plní svoje úlohy ako sú jej pridelené v rámci Zmluvy o Dielo, musí byť obsadená samostatnou (inou / odlišnou) osobou. Expertmi pre Zmluvu o Dielo sú pozície nasledovných expertov:</w:t>
      </w:r>
    </w:p>
    <w:p w14:paraId="44A3358A"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1 - Projektový manažér pre realizáciu diela;</w:t>
      </w:r>
    </w:p>
    <w:p w14:paraId="4449CB85"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3 Hlavný IT architekt;</w:t>
      </w:r>
    </w:p>
    <w:p w14:paraId="5E1185BB"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4 Hlavný IT analytik;</w:t>
      </w:r>
    </w:p>
    <w:p w14:paraId="61443DA9"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5 Biznis analytik v oblasti dopravy;</w:t>
      </w:r>
    </w:p>
    <w:p w14:paraId="11FE575C"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lastRenderedPageBreak/>
        <w:t>Kľúčový expert č. 6 Špecialista na integrácie informačných systémov (IT programátor/vývojár);</w:t>
      </w:r>
    </w:p>
    <w:p w14:paraId="656A2B87"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odborník č. 7 – Odborník na orchestráciu kontajnerizovaných komponentov informačného systému v cloudovom ekosystéme;</w:t>
      </w:r>
    </w:p>
    <w:p w14:paraId="3514C258"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8 Hlavný tester (IT tester);</w:t>
      </w:r>
    </w:p>
    <w:p w14:paraId="78707DCF"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9 Tester (IT tester);</w:t>
      </w:r>
    </w:p>
    <w:p w14:paraId="0E977838"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č. 10 - Špecialista pre databázové technológie;</w:t>
      </w:r>
    </w:p>
    <w:p w14:paraId="63EBC64C"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11 Špecialista pre bezpečnosť IT;</w:t>
      </w:r>
    </w:p>
    <w:p w14:paraId="67233629"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12 Manažér inštalačných činností; a</w:t>
      </w:r>
    </w:p>
    <w:p w14:paraId="4CE1B9F5" w14:textId="77777777" w:rsidR="008E0AA2" w:rsidRPr="008E0AA2" w:rsidRDefault="008E0AA2" w:rsidP="00585E42">
      <w:pPr>
        <w:pStyle w:val="Odsekzoznamu"/>
        <w:numPr>
          <w:ilvl w:val="3"/>
          <w:numId w:val="10"/>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13 Vedúci inštalačných a servisných činností</w:t>
      </w:r>
    </w:p>
    <w:p w14:paraId="0AA7B789"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 xml:space="preserve">Osoba každého kľúčového experta, ktorá plní svoje úlohy ako sú jej pridelené v rámci SLA Zmluvy, musí byť obsadená samostatnou (inou / odlišnou) osobou. </w:t>
      </w:r>
    </w:p>
    <w:p w14:paraId="5F38B9D7" w14:textId="77777777" w:rsidR="008E0AA2" w:rsidRP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Expertmi pre SLA Zmluvu sú pozície nasledovných expertov:</w:t>
      </w:r>
    </w:p>
    <w:p w14:paraId="1E3E5A5A"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2 - Expert pre projektové riadenie prevádzky;</w:t>
      </w:r>
    </w:p>
    <w:p w14:paraId="591D0217"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3 Hlavný IT architekt;</w:t>
      </w:r>
    </w:p>
    <w:p w14:paraId="48E60C90"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4 Hlavný IT analytik;</w:t>
      </w:r>
    </w:p>
    <w:p w14:paraId="3C7CD2D8"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6 Špecialista na integrácie informačných systémov (IT programátor/vývojár);</w:t>
      </w:r>
    </w:p>
    <w:p w14:paraId="1BB17CD7"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9 Tester (IT tester);</w:t>
      </w:r>
    </w:p>
    <w:p w14:paraId="030F0BD1"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č. 10 - Špecialista pre databázové technológie;</w:t>
      </w:r>
    </w:p>
    <w:p w14:paraId="7344FDE1"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12 Manažér inštalačných činností;</w:t>
      </w:r>
    </w:p>
    <w:p w14:paraId="38CCA058" w14:textId="77777777" w:rsidR="008E0AA2" w:rsidRPr="008E0AA2" w:rsidRDefault="008E0AA2" w:rsidP="00585E42">
      <w:pPr>
        <w:pStyle w:val="Odsekzoznamu"/>
        <w:numPr>
          <w:ilvl w:val="3"/>
          <w:numId w:val="11"/>
        </w:numPr>
        <w:tabs>
          <w:tab w:val="clear" w:pos="1800"/>
        </w:tabs>
        <w:spacing w:after="240"/>
        <w:ind w:left="1276" w:hanging="567"/>
        <w:contextualSpacing w:val="0"/>
        <w:jc w:val="both"/>
        <w:rPr>
          <w:rFonts w:ascii="Times New Roman" w:hAnsi="Times New Roman" w:cs="Times New Roman"/>
          <w:sz w:val="22"/>
          <w:szCs w:val="22"/>
        </w:rPr>
      </w:pPr>
      <w:r w:rsidRPr="008E0AA2">
        <w:rPr>
          <w:rFonts w:ascii="Times New Roman" w:hAnsi="Times New Roman" w:cs="Times New Roman"/>
          <w:sz w:val="22"/>
          <w:szCs w:val="22"/>
        </w:rPr>
        <w:t>Kľúčový expert č. 13 Vedúci inštalačných a servisných činností.</w:t>
      </w:r>
    </w:p>
    <w:p w14:paraId="1D302743" w14:textId="77777777" w:rsidR="008E0AA2" w:rsidRDefault="008E0AA2" w:rsidP="00585E42">
      <w:pPr>
        <w:pStyle w:val="Odsekzoznamu"/>
        <w:spacing w:after="240"/>
        <w:ind w:left="709"/>
        <w:contextualSpacing w:val="0"/>
        <w:jc w:val="both"/>
        <w:rPr>
          <w:rFonts w:ascii="Times New Roman" w:hAnsi="Times New Roman" w:cs="Times New Roman"/>
          <w:sz w:val="22"/>
          <w:szCs w:val="22"/>
        </w:rPr>
      </w:pPr>
      <w:r w:rsidRPr="008E0AA2">
        <w:rPr>
          <w:rFonts w:ascii="Times New Roman" w:hAnsi="Times New Roman" w:cs="Times New Roman"/>
          <w:sz w:val="22"/>
          <w:szCs w:val="22"/>
        </w:rPr>
        <w:t>Inak platí, že osoby, prostredníctvom ktorých uchádzač preukazuje splnenie podmienok účasti na kľúčových expertov, ktoré plnia svoje úlohy ako sú im pridelené v rámci Zmluvy o Dielo môžu byť využité aj na preukázanie splnenia podmienok na kľúčových expertov, ktoré plnia svoje úlohy ako sú im pridelené v rámci SLA Zmluvy a naopak.</w:t>
      </w:r>
    </w:p>
    <w:tbl>
      <w:tblPr>
        <w:tblStyle w:val="Mriekatabuky"/>
        <w:tblW w:w="0" w:type="auto"/>
        <w:tblLook w:val="04A0" w:firstRow="1" w:lastRow="0" w:firstColumn="1" w:lastColumn="0" w:noHBand="0" w:noVBand="1"/>
      </w:tblPr>
      <w:tblGrid>
        <w:gridCol w:w="2405"/>
        <w:gridCol w:w="6998"/>
      </w:tblGrid>
      <w:tr w:rsidR="00742171" w14:paraId="669A231E" w14:textId="77777777" w:rsidTr="00742171">
        <w:tc>
          <w:tcPr>
            <w:tcW w:w="9403" w:type="dxa"/>
            <w:gridSpan w:val="2"/>
            <w:shd w:val="clear" w:color="auto" w:fill="BFBFBF" w:themeFill="background1" w:themeFillShade="BF"/>
          </w:tcPr>
          <w:p w14:paraId="5B5F0044"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1 - Projektový manažér pre realizáciu diela</w:t>
            </w:r>
          </w:p>
        </w:tc>
      </w:tr>
      <w:tr w:rsidR="00742171" w14:paraId="1DC3CAD3" w14:textId="77777777" w:rsidTr="00742171">
        <w:tc>
          <w:tcPr>
            <w:tcW w:w="2405" w:type="dxa"/>
          </w:tcPr>
          <w:p w14:paraId="42421DC0" w14:textId="77777777" w:rsidR="00742171" w:rsidRDefault="00742171"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7D7C1F25" w14:textId="77777777" w:rsidR="00742171" w:rsidRDefault="004F11A5" w:rsidP="00592FD9">
            <w:pPr>
              <w:spacing w:before="120" w:after="120"/>
              <w:jc w:val="both"/>
              <w:rPr>
                <w:rFonts w:ascii="Times New Roman" w:hAnsi="Times New Roman" w:cs="Times New Roman"/>
                <w:sz w:val="22"/>
                <w:szCs w:val="22"/>
              </w:rPr>
            </w:pPr>
            <w:r w:rsidRPr="004F11A5">
              <w:rPr>
                <w:rFonts w:ascii="Times New Roman" w:hAnsi="Times New Roman" w:cs="Times New Roman"/>
                <w:sz w:val="22"/>
                <w:szCs w:val="22"/>
              </w:rPr>
              <w:t>Minimálne 5 rokov odbornej praxe na pracovnej pozícii, na ktorej expert aktívne vykonával činnosti projektového riadenia projektov v oblasti informačných technológií (IT).</w:t>
            </w:r>
          </w:p>
        </w:tc>
      </w:tr>
      <w:tr w:rsidR="00742171" w14:paraId="1A767EF7" w14:textId="77777777" w:rsidTr="00742171">
        <w:tc>
          <w:tcPr>
            <w:tcW w:w="2405" w:type="dxa"/>
          </w:tcPr>
          <w:p w14:paraId="7B48C835" w14:textId="77777777" w:rsidR="00742171" w:rsidRDefault="00742171"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praktické skúsenosti</w:t>
            </w:r>
          </w:p>
        </w:tc>
        <w:tc>
          <w:tcPr>
            <w:tcW w:w="6998" w:type="dxa"/>
          </w:tcPr>
          <w:p w14:paraId="32358501" w14:textId="77777777" w:rsidR="004F11A5" w:rsidRPr="004F11A5" w:rsidRDefault="004F11A5" w:rsidP="00592FD9">
            <w:pPr>
              <w:spacing w:before="120" w:after="120"/>
              <w:jc w:val="both"/>
              <w:rPr>
                <w:rFonts w:ascii="Times New Roman" w:hAnsi="Times New Roman" w:cs="Times New Roman"/>
                <w:sz w:val="22"/>
                <w:szCs w:val="22"/>
              </w:rPr>
            </w:pPr>
            <w:r w:rsidRPr="004F11A5">
              <w:rPr>
                <w:rFonts w:ascii="Times New Roman" w:hAnsi="Times New Roman" w:cs="Times New Roman"/>
                <w:sz w:val="22"/>
                <w:szCs w:val="22"/>
              </w:rPr>
              <w:t>Minimálne 1 profesionálna praktická skúsenosť spĺňajúca nasledovné podmienky:</w:t>
            </w:r>
          </w:p>
          <w:p w14:paraId="4A3C32A2" w14:textId="77777777" w:rsidR="004F11A5" w:rsidRPr="00592FD9" w:rsidRDefault="004F11A5"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projektového manažéra riadiaceho celý projektový tím;</w:t>
            </w:r>
          </w:p>
          <w:p w14:paraId="026F3E55" w14:textId="77777777" w:rsidR="004F11A5" w:rsidRPr="004F11A5" w:rsidRDefault="004F11A5" w:rsidP="00592FD9">
            <w:pPr>
              <w:pStyle w:val="Odsekzoznamu"/>
              <w:numPr>
                <w:ilvl w:val="0"/>
                <w:numId w:val="13"/>
              </w:numPr>
              <w:spacing w:before="120" w:after="120"/>
              <w:contextualSpacing w:val="0"/>
              <w:jc w:val="both"/>
              <w:rPr>
                <w:rFonts w:ascii="Times New Roman" w:hAnsi="Times New Roman" w:cs="Times New Roman"/>
                <w:sz w:val="22"/>
                <w:szCs w:val="22"/>
              </w:rPr>
            </w:pPr>
            <w:r w:rsidRPr="004F11A5">
              <w:rPr>
                <w:rFonts w:ascii="Times New Roman" w:hAnsi="Times New Roman" w:cs="Times New Roman"/>
                <w:sz w:val="22"/>
                <w:szCs w:val="22"/>
              </w:rPr>
              <w:t>Jednalo sa o projekt v oblasti IT, ktorý spĺňal nasledovné parametre:</w:t>
            </w:r>
          </w:p>
          <w:p w14:paraId="00B6EF51" w14:textId="77777777" w:rsidR="004F11A5" w:rsidRPr="00592FD9" w:rsidRDefault="004F11A5"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projektu a predmetom riadenia zo strany odborníka boli všetky nasledovné fázy cyklu implementácie projektu: analýza, vývoj, testovanie, migrácia  a nasadenie do produkčnej prevádzky; </w:t>
            </w:r>
          </w:p>
          <w:p w14:paraId="05079EE5" w14:textId="77777777" w:rsidR="004F11A5" w:rsidRPr="00592FD9" w:rsidRDefault="004F11A5"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projektu bola integrácia systémov medzi organizáciami na úrovni výmeny údajov prostredníctvom integračnej platformy. </w:t>
            </w:r>
          </w:p>
          <w:p w14:paraId="10675E9A" w14:textId="242E28EE" w:rsidR="004F11A5" w:rsidRPr="00592FD9" w:rsidRDefault="004F11A5"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integrácie v rámci tohto Projektu musela byť integrácia informačného systému na min. </w:t>
            </w:r>
            <w:r w:rsidR="00065D12">
              <w:rPr>
                <w:rFonts w:ascii="Times New Roman" w:hAnsi="Times New Roman" w:cs="Times New Roman"/>
                <w:sz w:val="22"/>
                <w:szCs w:val="22"/>
              </w:rPr>
              <w:t>15</w:t>
            </w:r>
            <w:r w:rsidRPr="00592FD9">
              <w:rPr>
                <w:rFonts w:ascii="Times New Roman" w:hAnsi="Times New Roman" w:cs="Times New Roman"/>
                <w:sz w:val="22"/>
                <w:szCs w:val="22"/>
              </w:rPr>
              <w:t xml:space="preserve"> rôznych organizácií resp. subjektov.</w:t>
            </w:r>
          </w:p>
          <w:p w14:paraId="68A4EF20" w14:textId="77777777" w:rsidR="00742171" w:rsidRDefault="004F11A5" w:rsidP="00592FD9">
            <w:pPr>
              <w:spacing w:before="120" w:after="120"/>
              <w:jc w:val="both"/>
              <w:rPr>
                <w:rFonts w:ascii="Times New Roman" w:hAnsi="Times New Roman" w:cs="Times New Roman"/>
                <w:sz w:val="22"/>
                <w:szCs w:val="22"/>
              </w:rPr>
            </w:pPr>
            <w:r w:rsidRPr="004F11A5">
              <w:rPr>
                <w:rFonts w:ascii="Times New Roman" w:hAnsi="Times New Roman" w:cs="Times New Roman"/>
                <w:sz w:val="22"/>
                <w:szCs w:val="22"/>
              </w:rPr>
              <w:t>Minimálne 1 profesionálna praktická skúsenosť z praktických skúseností, ktorými odborník preukazuje splnenie podmienok vyššie sa týkala projektu, ktorého hodnota (zmluvná cena za jeho vykonanie) bola minimálne 5.000.000,- EUR bez DPH.</w:t>
            </w:r>
          </w:p>
        </w:tc>
      </w:tr>
      <w:tr w:rsidR="00742171" w14:paraId="605D55FC" w14:textId="77777777" w:rsidTr="00742171">
        <w:tc>
          <w:tcPr>
            <w:tcW w:w="2405" w:type="dxa"/>
          </w:tcPr>
          <w:p w14:paraId="4EF19BB4" w14:textId="77777777" w:rsidR="00742171" w:rsidRDefault="00742171"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25EF174B" w14:textId="77777777" w:rsidR="00742171" w:rsidRDefault="004F11A5" w:rsidP="00592FD9">
            <w:pPr>
              <w:spacing w:before="120" w:after="120"/>
              <w:jc w:val="both"/>
              <w:rPr>
                <w:rFonts w:ascii="Times New Roman" w:hAnsi="Times New Roman" w:cs="Times New Roman"/>
                <w:sz w:val="22"/>
                <w:szCs w:val="22"/>
              </w:rPr>
            </w:pPr>
            <w:r w:rsidRPr="004F11A5">
              <w:rPr>
                <w:rFonts w:ascii="Times New Roman" w:hAnsi="Times New Roman" w:cs="Times New Roman"/>
                <w:sz w:val="22"/>
                <w:szCs w:val="22"/>
              </w:rPr>
              <w:t>Platný certifikát projektového manažmentu min. úrovne PRINCE 2 Practitioner, alebo  IPMA level C alebo ekvivalent daného certifikátu vydaný medzinárodne uznávanou akreditačnou a certifikačnou autoritou.</w:t>
            </w:r>
          </w:p>
        </w:tc>
      </w:tr>
      <w:tr w:rsidR="00592FD9" w14:paraId="747A2A24" w14:textId="77777777" w:rsidTr="00742171">
        <w:tc>
          <w:tcPr>
            <w:tcW w:w="2405" w:type="dxa"/>
          </w:tcPr>
          <w:p w14:paraId="77B89828" w14:textId="77777777" w:rsidR="00592FD9" w:rsidRPr="00742171" w:rsidRDefault="00592FD9" w:rsidP="00592FD9">
            <w:pPr>
              <w:spacing w:before="120" w:after="120"/>
              <w:jc w:val="both"/>
              <w:rPr>
                <w:rFonts w:ascii="Times New Roman" w:hAnsi="Times New Roman" w:cs="Times New Roman"/>
                <w:sz w:val="22"/>
                <w:szCs w:val="22"/>
              </w:rPr>
            </w:pPr>
            <w:r>
              <w:rPr>
                <w:rFonts w:ascii="Times New Roman" w:hAnsi="Times New Roman" w:cs="Times New Roman"/>
                <w:sz w:val="22"/>
                <w:szCs w:val="22"/>
              </w:rPr>
              <w:t>Iné</w:t>
            </w:r>
          </w:p>
        </w:tc>
        <w:tc>
          <w:tcPr>
            <w:tcW w:w="6998" w:type="dxa"/>
          </w:tcPr>
          <w:p w14:paraId="7FB24125" w14:textId="77777777" w:rsidR="00592FD9" w:rsidRPr="004F11A5"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Odborník musí plynulo komunikovať v hovorenej aj písanej komunikácii v slovenskom alebo českom jazyku.</w:t>
            </w:r>
          </w:p>
        </w:tc>
      </w:tr>
      <w:tr w:rsidR="00742171" w14:paraId="235E6D30" w14:textId="77777777" w:rsidTr="00742171">
        <w:tc>
          <w:tcPr>
            <w:tcW w:w="9403" w:type="dxa"/>
            <w:gridSpan w:val="2"/>
            <w:shd w:val="clear" w:color="auto" w:fill="BFBFBF" w:themeFill="background1" w:themeFillShade="BF"/>
          </w:tcPr>
          <w:p w14:paraId="0DAF911B"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2 – Expert pre projektové riadenie prevádzky</w:t>
            </w:r>
          </w:p>
        </w:tc>
      </w:tr>
      <w:tr w:rsidR="00592FD9" w14:paraId="1F5D2389" w14:textId="77777777" w:rsidTr="00742171">
        <w:tc>
          <w:tcPr>
            <w:tcW w:w="2405" w:type="dxa"/>
          </w:tcPr>
          <w:p w14:paraId="788F7CA3"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33AD6DE1"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projektového riadenia SLA projektov v oblasti IT a/alebo dohľadu na kvalitou (Quality Assurance) realizovaných služieb.</w:t>
            </w:r>
          </w:p>
        </w:tc>
      </w:tr>
      <w:tr w:rsidR="00592FD9" w14:paraId="1AF6D8C7" w14:textId="77777777" w:rsidTr="00742171">
        <w:tc>
          <w:tcPr>
            <w:tcW w:w="2405" w:type="dxa"/>
          </w:tcPr>
          <w:p w14:paraId="53290D98"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68FB5D5A"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0E393D6F"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dohľad nad kvalitou riadenia projektu (Quality Assurance);</w:t>
            </w:r>
          </w:p>
          <w:p w14:paraId="44F688D7"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SLA projekt v oblasti IT, ktorý (projekt) spĺňal nasledovné podmienky</w:t>
            </w:r>
          </w:p>
          <w:p w14:paraId="40EC7ED1"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predmetom projektu bolo poskytovanie služieb prevádzkovej a servisnej podpory (SLA) informačného systému 24 hodín denne, 7 dní v týždni, 365 dní v roku;</w:t>
            </w:r>
          </w:p>
          <w:p w14:paraId="4BC9E22E" w14:textId="77777777" w:rsid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súčasťou projektu bolo aj riadenie zmenových požiadaviek resp. rozvoja informačného systému, kedy daný odborník riadil všetky nasledovné fázy zmenového konania resp. rozvoja informačného systému: analýza, vývoj, testovanie a nasadenie do produkčnej prevádzky.</w:t>
            </w:r>
          </w:p>
        </w:tc>
      </w:tr>
      <w:tr w:rsidR="00592FD9" w14:paraId="18FE5AEC" w14:textId="77777777" w:rsidTr="00742171">
        <w:tc>
          <w:tcPr>
            <w:tcW w:w="2405" w:type="dxa"/>
          </w:tcPr>
          <w:p w14:paraId="0AE70A83"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vzdelanie a certifikáciu</w:t>
            </w:r>
          </w:p>
        </w:tc>
        <w:tc>
          <w:tcPr>
            <w:tcW w:w="6998" w:type="dxa"/>
          </w:tcPr>
          <w:p w14:paraId="5C8AEA40"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min. úrovne PRINCE 2 Foundation alebo IPMA level B alebo ekvivalent daného certifikátu vydaný medzinárodne uznávanou akreditačnou a certifikačnou autoritou.</w:t>
            </w:r>
          </w:p>
          <w:p w14:paraId="58498EF6"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min. úrovne ITIL Edition 4 alebo ekvivalent daného certifikátu vydaný medzinárodne uznávanou akreditačnou a certifikačnou autoritou.</w:t>
            </w:r>
          </w:p>
        </w:tc>
      </w:tr>
      <w:tr w:rsidR="00742171" w14:paraId="2C5FFE7B" w14:textId="77777777" w:rsidTr="00742171">
        <w:tc>
          <w:tcPr>
            <w:tcW w:w="9403" w:type="dxa"/>
            <w:gridSpan w:val="2"/>
            <w:shd w:val="clear" w:color="auto" w:fill="BFBFBF" w:themeFill="background1" w:themeFillShade="BF"/>
          </w:tcPr>
          <w:p w14:paraId="70F2C442"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3 Hlavný IT architekt</w:t>
            </w:r>
          </w:p>
        </w:tc>
      </w:tr>
      <w:tr w:rsidR="00592FD9" w14:paraId="719C2F19" w14:textId="77777777" w:rsidTr="00742171">
        <w:tc>
          <w:tcPr>
            <w:tcW w:w="2405" w:type="dxa"/>
          </w:tcPr>
          <w:p w14:paraId="79B27ABD"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4F1B9E7E"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navrhovania architektúry riešenia informačných systémov.</w:t>
            </w:r>
          </w:p>
        </w:tc>
      </w:tr>
      <w:tr w:rsidR="00592FD9" w14:paraId="382D89F0" w14:textId="77777777" w:rsidTr="00742171">
        <w:tc>
          <w:tcPr>
            <w:tcW w:w="2405" w:type="dxa"/>
          </w:tcPr>
          <w:p w14:paraId="0FC7BE6E"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7CE14E9C"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6A91AFE7"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zodpovednej za návrh architektúry informačného systému;</w:t>
            </w:r>
          </w:p>
          <w:p w14:paraId="72162D39"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činnosti odborníka a návrh architektúry informačného systému, pri ktorých boli splnené nasledovné podmienky</w:t>
            </w:r>
          </w:p>
          <w:p w14:paraId="57D1CAA8"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návrh architektúry bol vytvorený podľa notácie jazyka modelovacieho nástroja pre architektúry informačných systémov;</w:t>
            </w:r>
          </w:p>
          <w:p w14:paraId="26587F0D"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Architektúra obsahovala minimálne: </w:t>
            </w:r>
          </w:p>
          <w:p w14:paraId="2C0EDE68" w14:textId="77777777" w:rsidR="00592FD9" w:rsidRPr="00592FD9" w:rsidRDefault="00592FD9" w:rsidP="00592FD9">
            <w:pPr>
              <w:pStyle w:val="Odsekzoznamu"/>
              <w:numPr>
                <w:ilvl w:val="2"/>
                <w:numId w:val="13"/>
              </w:numPr>
              <w:spacing w:before="120" w:after="120"/>
              <w:ind w:left="892" w:hanging="283"/>
              <w:contextualSpacing w:val="0"/>
              <w:jc w:val="both"/>
              <w:rPr>
                <w:rFonts w:ascii="Times New Roman" w:hAnsi="Times New Roman" w:cs="Times New Roman"/>
                <w:sz w:val="22"/>
                <w:szCs w:val="22"/>
              </w:rPr>
            </w:pPr>
            <w:r w:rsidRPr="00592FD9">
              <w:rPr>
                <w:rFonts w:ascii="Times New Roman" w:hAnsi="Times New Roman" w:cs="Times New Roman"/>
                <w:sz w:val="22"/>
                <w:szCs w:val="22"/>
              </w:rPr>
              <w:t>Návrh biznis architektúry</w:t>
            </w:r>
          </w:p>
          <w:p w14:paraId="5176F699" w14:textId="77777777" w:rsidR="00592FD9" w:rsidRPr="00592FD9" w:rsidRDefault="00592FD9" w:rsidP="00592FD9">
            <w:pPr>
              <w:pStyle w:val="Odsekzoznamu"/>
              <w:numPr>
                <w:ilvl w:val="2"/>
                <w:numId w:val="13"/>
              </w:numPr>
              <w:spacing w:before="120" w:after="120"/>
              <w:ind w:left="892" w:hanging="283"/>
              <w:contextualSpacing w:val="0"/>
              <w:jc w:val="both"/>
              <w:rPr>
                <w:rFonts w:ascii="Times New Roman" w:hAnsi="Times New Roman" w:cs="Times New Roman"/>
                <w:sz w:val="22"/>
                <w:szCs w:val="22"/>
              </w:rPr>
            </w:pPr>
            <w:r w:rsidRPr="00592FD9">
              <w:rPr>
                <w:rFonts w:ascii="Times New Roman" w:hAnsi="Times New Roman" w:cs="Times New Roman"/>
                <w:sz w:val="22"/>
                <w:szCs w:val="22"/>
              </w:rPr>
              <w:t>Návrh aplikačnej architektúry</w:t>
            </w:r>
          </w:p>
          <w:p w14:paraId="5BDF3BF9" w14:textId="77777777" w:rsidR="00592FD9" w:rsidRPr="00592FD9" w:rsidRDefault="00592FD9" w:rsidP="00592FD9">
            <w:pPr>
              <w:pStyle w:val="Odsekzoznamu"/>
              <w:numPr>
                <w:ilvl w:val="2"/>
                <w:numId w:val="13"/>
              </w:numPr>
              <w:spacing w:before="120" w:after="120"/>
              <w:ind w:left="892" w:hanging="283"/>
              <w:contextualSpacing w:val="0"/>
              <w:jc w:val="both"/>
              <w:rPr>
                <w:rFonts w:ascii="Times New Roman" w:hAnsi="Times New Roman" w:cs="Times New Roman"/>
                <w:sz w:val="22"/>
                <w:szCs w:val="22"/>
              </w:rPr>
            </w:pPr>
            <w:r w:rsidRPr="00592FD9">
              <w:rPr>
                <w:rFonts w:ascii="Times New Roman" w:hAnsi="Times New Roman" w:cs="Times New Roman"/>
                <w:sz w:val="22"/>
                <w:szCs w:val="22"/>
              </w:rPr>
              <w:t>Návrh dátovej architektúry</w:t>
            </w:r>
          </w:p>
          <w:p w14:paraId="1E0CAAFB" w14:textId="77777777" w:rsidR="00592FD9" w:rsidRPr="00592FD9" w:rsidRDefault="00592FD9" w:rsidP="00592FD9">
            <w:pPr>
              <w:pStyle w:val="Odsekzoznamu"/>
              <w:numPr>
                <w:ilvl w:val="2"/>
                <w:numId w:val="13"/>
              </w:numPr>
              <w:spacing w:before="120" w:after="120"/>
              <w:ind w:left="892" w:hanging="283"/>
              <w:contextualSpacing w:val="0"/>
              <w:jc w:val="both"/>
              <w:rPr>
                <w:rFonts w:ascii="Times New Roman" w:hAnsi="Times New Roman" w:cs="Times New Roman"/>
                <w:sz w:val="22"/>
                <w:szCs w:val="22"/>
              </w:rPr>
            </w:pPr>
            <w:r w:rsidRPr="00592FD9">
              <w:rPr>
                <w:rFonts w:ascii="Times New Roman" w:hAnsi="Times New Roman" w:cs="Times New Roman"/>
                <w:sz w:val="22"/>
                <w:szCs w:val="22"/>
              </w:rPr>
              <w:t>Návrh technologickej architektúry</w:t>
            </w:r>
          </w:p>
          <w:p w14:paraId="3F83A3BE" w14:textId="188510D8" w:rsidR="00592FD9" w:rsidRPr="00065D12" w:rsidRDefault="00592FD9" w:rsidP="00065D12">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ab/>
              <w:t>Informačný systém bol vytvorený tzv. 3 vrstvou architektúrou, t. j.  obsahoval portálovú časť (front-end), časť biznis-logiky (back-end) a databázovú časť</w:t>
            </w:r>
          </w:p>
        </w:tc>
      </w:tr>
      <w:tr w:rsidR="00592FD9" w14:paraId="38BA9E7E" w14:textId="77777777" w:rsidTr="00742171">
        <w:tc>
          <w:tcPr>
            <w:tcW w:w="2405" w:type="dxa"/>
          </w:tcPr>
          <w:p w14:paraId="461194D4"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2B875E49"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pre oblasť návrhu architektúry IT TOGAF min. úrovne Certified alebo ekvivalent daného certifikátu vydaný medzinárodne uznávanou akreditačnou a certifikačnou autoritou</w:t>
            </w:r>
          </w:p>
          <w:p w14:paraId="0338E520"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s minimálnou úrovňou Archimate 3 Practitioner alebo ekvivalent daného certifikátu vydaný medzinárodne uznávanou akreditačnou a certifikačnou autoritou.</w:t>
            </w:r>
          </w:p>
        </w:tc>
      </w:tr>
      <w:tr w:rsidR="00742171" w14:paraId="5F2EE5FC" w14:textId="77777777" w:rsidTr="00742171">
        <w:tc>
          <w:tcPr>
            <w:tcW w:w="9403" w:type="dxa"/>
            <w:gridSpan w:val="2"/>
            <w:shd w:val="clear" w:color="auto" w:fill="BFBFBF" w:themeFill="background1" w:themeFillShade="BF"/>
          </w:tcPr>
          <w:p w14:paraId="6A5F2582"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4 Hlavný IT analytik</w:t>
            </w:r>
          </w:p>
        </w:tc>
      </w:tr>
      <w:tr w:rsidR="00592FD9" w14:paraId="45D4D850" w14:textId="77777777" w:rsidTr="00742171">
        <w:tc>
          <w:tcPr>
            <w:tcW w:w="2405" w:type="dxa"/>
          </w:tcPr>
          <w:p w14:paraId="2539D4C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36A3D2A5"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softvérových analýz a modelovania informačných systémov.</w:t>
            </w:r>
          </w:p>
        </w:tc>
      </w:tr>
      <w:tr w:rsidR="00592FD9" w14:paraId="371312FE" w14:textId="77777777" w:rsidTr="00742171">
        <w:tc>
          <w:tcPr>
            <w:tcW w:w="2405" w:type="dxa"/>
          </w:tcPr>
          <w:p w14:paraId="117B3CC6"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praktické skúsenosti</w:t>
            </w:r>
          </w:p>
        </w:tc>
        <w:tc>
          <w:tcPr>
            <w:tcW w:w="6998" w:type="dxa"/>
          </w:tcPr>
          <w:p w14:paraId="3FD724E3"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3BAEF1B4"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zodpovednej za vypracovanie a dohľad nad všetkými aktivitami pri tvorbe detailného návrhu riešenia (DNR) projektu informačného systému.</w:t>
            </w:r>
          </w:p>
          <w:p w14:paraId="417B6D0B" w14:textId="77777777" w:rsid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vypracovanie DNR projektu v oblasti analýzy a modelovania integrovaných systémov.</w:t>
            </w:r>
          </w:p>
        </w:tc>
      </w:tr>
      <w:tr w:rsidR="00592FD9" w14:paraId="56AAF07F" w14:textId="77777777" w:rsidTr="00742171">
        <w:tc>
          <w:tcPr>
            <w:tcW w:w="2405" w:type="dxa"/>
          </w:tcPr>
          <w:p w14:paraId="71CC6580"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495EC76D"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s minimálnou úrovňou OMG Certified UML (Unified Modeling Language) Advanced alebo ekvivalent daného certifikátu vydaný medzinárodne uznávanou akreditačnou a certifikačnou autoritou.</w:t>
            </w:r>
          </w:p>
          <w:p w14:paraId="5415780A"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s minimálnou úrovňou Archimate 3 Practitioner alebo ekvivalent daného certifikátu vydaný medzinárodne uznávanou akreditačnou a certifikačnou autoritou.</w:t>
            </w:r>
          </w:p>
        </w:tc>
      </w:tr>
      <w:tr w:rsidR="00742171" w14:paraId="0306194E" w14:textId="77777777" w:rsidTr="00742171">
        <w:tc>
          <w:tcPr>
            <w:tcW w:w="9403" w:type="dxa"/>
            <w:gridSpan w:val="2"/>
            <w:shd w:val="clear" w:color="auto" w:fill="BFBFBF" w:themeFill="background1" w:themeFillShade="BF"/>
          </w:tcPr>
          <w:p w14:paraId="76D9224F"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5 Biznis analytik v oblasti dopravy</w:t>
            </w:r>
          </w:p>
        </w:tc>
      </w:tr>
      <w:tr w:rsidR="00592FD9" w14:paraId="4EFF0F3E" w14:textId="77777777" w:rsidTr="00742171">
        <w:tc>
          <w:tcPr>
            <w:tcW w:w="2405" w:type="dxa"/>
          </w:tcPr>
          <w:p w14:paraId="1C056854"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168031B1"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praxe na pracovnej pozícii, na ktorej expert aktívne vykonával činnosti softvérových analýz a navrhovania aplikácii.</w:t>
            </w:r>
          </w:p>
        </w:tc>
      </w:tr>
      <w:tr w:rsidR="00592FD9" w14:paraId="5FD4E7A9" w14:textId="77777777" w:rsidTr="00742171">
        <w:tc>
          <w:tcPr>
            <w:tcW w:w="2405" w:type="dxa"/>
          </w:tcPr>
          <w:p w14:paraId="29F8A35A"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429F87C4"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praktická skúsenosť spĺňajúca nasledovné podmienky</w:t>
            </w:r>
          </w:p>
          <w:p w14:paraId="7D283C65"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vypracovanie detailného návrhu riešenia (DNR) a/alebo návrh biznis procesov informačného systému.</w:t>
            </w:r>
          </w:p>
          <w:p w14:paraId="0BA1F8DD" w14:textId="77777777" w:rsid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informačný systém, predmetom ktorého bolo okrem iného minimálne zabezpečenie funkcionality optimalizácie trasy / trás v oblasti dopravy / prepravy a výber poplatkov a zúčtovanie poplatkov v oblasti dopravy/ prepravy.</w:t>
            </w:r>
          </w:p>
        </w:tc>
      </w:tr>
      <w:tr w:rsidR="00592FD9" w14:paraId="7F565EBA" w14:textId="77777777" w:rsidTr="00742171">
        <w:tc>
          <w:tcPr>
            <w:tcW w:w="2405" w:type="dxa"/>
          </w:tcPr>
          <w:p w14:paraId="05C83323"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6C5E790A"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N/A.</w:t>
            </w:r>
          </w:p>
        </w:tc>
      </w:tr>
      <w:tr w:rsidR="00742171" w14:paraId="6B7E4139" w14:textId="77777777" w:rsidTr="00742171">
        <w:tc>
          <w:tcPr>
            <w:tcW w:w="9403" w:type="dxa"/>
            <w:gridSpan w:val="2"/>
            <w:shd w:val="clear" w:color="auto" w:fill="BFBFBF" w:themeFill="background1" w:themeFillShade="BF"/>
          </w:tcPr>
          <w:p w14:paraId="2F7D0D91"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6 Špecialista na integrácie informačných systémov (IT programátor/vývojár)</w:t>
            </w:r>
          </w:p>
        </w:tc>
      </w:tr>
      <w:tr w:rsidR="00592FD9" w14:paraId="13223DAB" w14:textId="77777777" w:rsidTr="00742171">
        <w:tc>
          <w:tcPr>
            <w:tcW w:w="2405" w:type="dxa"/>
          </w:tcPr>
          <w:p w14:paraId="659927D5"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3F9A0799"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päť rokov odbornej praxe na pracovnej pozícii, na ktorej expert aktívne vykonával činnosti navrhovania integračných rozhraní informačných systémov.</w:t>
            </w:r>
          </w:p>
        </w:tc>
      </w:tr>
      <w:tr w:rsidR="00592FD9" w14:paraId="55203BEB" w14:textId="77777777" w:rsidTr="00742171">
        <w:tc>
          <w:tcPr>
            <w:tcW w:w="2405" w:type="dxa"/>
          </w:tcPr>
          <w:p w14:paraId="23A48EBB"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7B046BF4"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73AE6F8A"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integráciu informačného systému / systémov na iný informačný systém;</w:t>
            </w:r>
          </w:p>
          <w:p w14:paraId="05FA03BD"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integráciu informačného systému, ktorý spĺňal nasledovné podmienky</w:t>
            </w:r>
          </w:p>
          <w:p w14:paraId="636E0DD9"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projektu bola integrácia systémov medzi organizáciami na úrovni výmeny údajov prostredníctvom integračnej platformy. </w:t>
            </w:r>
          </w:p>
          <w:p w14:paraId="101633C6" w14:textId="7227E041"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lastRenderedPageBreak/>
              <w:t xml:space="preserve">predmetom integrácie v rámci tohto Projektu musela byť integrácia informačného systému na min. </w:t>
            </w:r>
            <w:r w:rsidR="00065D12">
              <w:rPr>
                <w:rFonts w:ascii="Times New Roman" w:hAnsi="Times New Roman" w:cs="Times New Roman"/>
                <w:sz w:val="22"/>
                <w:szCs w:val="22"/>
              </w:rPr>
              <w:t>15</w:t>
            </w:r>
            <w:r w:rsidRPr="00592FD9">
              <w:rPr>
                <w:rFonts w:ascii="Times New Roman" w:hAnsi="Times New Roman" w:cs="Times New Roman"/>
                <w:sz w:val="22"/>
                <w:szCs w:val="22"/>
              </w:rPr>
              <w:t xml:space="preserve"> rôznych organizácií resp. subjektov.</w:t>
            </w:r>
          </w:p>
          <w:p w14:paraId="3ECCE2A9"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z praktických skúseností, ktorými odborník preukazuje splnenie podmienok vyššie sa týkala projektu, ktorého hodnota (zmluvná cena za jeho vykonanie) bola minimálne 5.000.000,- EUR bez DPH.</w:t>
            </w:r>
          </w:p>
        </w:tc>
      </w:tr>
      <w:tr w:rsidR="00592FD9" w14:paraId="58F891F6" w14:textId="77777777" w:rsidTr="00742171">
        <w:tc>
          <w:tcPr>
            <w:tcW w:w="2405" w:type="dxa"/>
          </w:tcPr>
          <w:p w14:paraId="50A78DFF"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vzdelanie a certifikáciu</w:t>
            </w:r>
          </w:p>
        </w:tc>
        <w:tc>
          <w:tcPr>
            <w:tcW w:w="6998" w:type="dxa"/>
          </w:tcPr>
          <w:p w14:paraId="46FF517E"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s minimálnou úrovňou Archimate 3 Practitioner alebo ekvivalent daného certifikátu vydaný medzinárodne uznávanou akreditačnou a certifikačnou autoritou.</w:t>
            </w:r>
          </w:p>
          <w:p w14:paraId="49BA2E8D" w14:textId="1E6ABBB4"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 xml:space="preserve">Platný certifikát pre oblasť návrhu architektúry IT TOGAF min. úrovne </w:t>
            </w:r>
            <w:r w:rsidR="00065D12">
              <w:rPr>
                <w:rFonts w:ascii="Times New Roman" w:hAnsi="Times New Roman" w:cs="Times New Roman"/>
                <w:sz w:val="22"/>
                <w:szCs w:val="22"/>
              </w:rPr>
              <w:t>Foundation</w:t>
            </w:r>
            <w:r w:rsidRPr="00592FD9">
              <w:rPr>
                <w:rFonts w:ascii="Times New Roman" w:hAnsi="Times New Roman" w:cs="Times New Roman"/>
                <w:sz w:val="22"/>
                <w:szCs w:val="22"/>
              </w:rPr>
              <w:t xml:space="preserve"> alebo ekvivalent daného certifikátu vydaný medzinárodne uznávanou akreditačnou a certifikačnou autoritou</w:t>
            </w:r>
            <w:r w:rsidR="00065D12">
              <w:rPr>
                <w:rFonts w:ascii="Times New Roman" w:hAnsi="Times New Roman" w:cs="Times New Roman"/>
                <w:sz w:val="22"/>
                <w:szCs w:val="22"/>
              </w:rPr>
              <w:t>.</w:t>
            </w:r>
          </w:p>
          <w:p w14:paraId="10B33189" w14:textId="2FB43692" w:rsidR="00065D12" w:rsidRDefault="00065D12" w:rsidP="00592FD9">
            <w:pPr>
              <w:spacing w:before="120" w:after="120"/>
              <w:jc w:val="both"/>
              <w:rPr>
                <w:rFonts w:ascii="Times New Roman" w:hAnsi="Times New Roman" w:cs="Times New Roman"/>
                <w:sz w:val="22"/>
                <w:szCs w:val="22"/>
              </w:rPr>
            </w:pPr>
            <w:r>
              <w:rPr>
                <w:rFonts w:ascii="Times New Roman" w:hAnsi="Times New Roman" w:cs="Times New Roman"/>
                <w:sz w:val="22"/>
                <w:szCs w:val="22"/>
              </w:rPr>
              <w:t xml:space="preserve">Platný certifikát </w:t>
            </w:r>
            <w:proofErr w:type="spellStart"/>
            <w:r>
              <w:rPr>
                <w:rFonts w:ascii="Times New Roman" w:hAnsi="Times New Roman" w:cs="Times New Roman"/>
                <w:sz w:val="22"/>
                <w:szCs w:val="22"/>
              </w:rPr>
              <w:t>SOA</w:t>
            </w:r>
            <w:proofErr w:type="spellEnd"/>
            <w:r>
              <w:rPr>
                <w:rFonts w:ascii="Times New Roman" w:hAnsi="Times New Roman" w:cs="Times New Roman"/>
                <w:sz w:val="22"/>
                <w:szCs w:val="22"/>
              </w:rPr>
              <w:t xml:space="preserve"> Architect min. úrovne Certified alebo ekvivalent daného certifikátu vydaný medzinárodne uznanou akreditačnou a certifikačnou autoritou.</w:t>
            </w:r>
          </w:p>
          <w:p w14:paraId="4BE63127" w14:textId="65018CBB" w:rsidR="00065D12" w:rsidRDefault="00065D12" w:rsidP="00592FD9">
            <w:pPr>
              <w:spacing w:before="120" w:after="120"/>
              <w:jc w:val="both"/>
              <w:rPr>
                <w:rFonts w:ascii="Times New Roman" w:hAnsi="Times New Roman" w:cs="Times New Roman"/>
                <w:sz w:val="22"/>
                <w:szCs w:val="22"/>
              </w:rPr>
            </w:pPr>
            <w:r>
              <w:rPr>
                <w:rFonts w:ascii="Times New Roman" w:hAnsi="Times New Roman" w:cs="Times New Roman"/>
                <w:sz w:val="22"/>
                <w:szCs w:val="22"/>
              </w:rPr>
              <w:t xml:space="preserve">Platný certifikát na Messaging System min. úrovne Professional ( Apache Kafka alebo RabbitMQ alebo </w:t>
            </w:r>
            <w:proofErr w:type="spellStart"/>
            <w:r>
              <w:rPr>
                <w:rFonts w:ascii="Times New Roman" w:hAnsi="Times New Roman" w:cs="Times New Roman"/>
                <w:sz w:val="22"/>
                <w:szCs w:val="22"/>
              </w:rPr>
              <w:t>Nats</w:t>
            </w:r>
            <w:proofErr w:type="spellEnd"/>
            <w:r>
              <w:rPr>
                <w:rFonts w:ascii="Times New Roman" w:hAnsi="Times New Roman" w:cs="Times New Roman"/>
                <w:sz w:val="22"/>
                <w:szCs w:val="22"/>
              </w:rPr>
              <w:t>) alebo ekvivalent daného certifikátu vydaný medzinárodne uznanou akreditačnou a certifikačnou autoritou.</w:t>
            </w:r>
          </w:p>
        </w:tc>
      </w:tr>
      <w:tr w:rsidR="00742171" w14:paraId="6EC965C8" w14:textId="77777777" w:rsidTr="00742171">
        <w:tc>
          <w:tcPr>
            <w:tcW w:w="9403" w:type="dxa"/>
            <w:gridSpan w:val="2"/>
            <w:shd w:val="clear" w:color="auto" w:fill="BFBFBF" w:themeFill="background1" w:themeFillShade="BF"/>
          </w:tcPr>
          <w:p w14:paraId="530480AE"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7 – Odborník na orchestráciu kontajnerizovaných komponentov informačného systému v cloudovom ekosystéme</w:t>
            </w:r>
          </w:p>
        </w:tc>
      </w:tr>
      <w:tr w:rsidR="00592FD9" w14:paraId="1B1E010F" w14:textId="77777777" w:rsidTr="00742171">
        <w:tc>
          <w:tcPr>
            <w:tcW w:w="2405" w:type="dxa"/>
          </w:tcPr>
          <w:p w14:paraId="3F5289F1"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5C82A5C3"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3 roky odbornej praxe v oblasti dizajnu cloudových riešení.</w:t>
            </w:r>
          </w:p>
        </w:tc>
      </w:tr>
      <w:tr w:rsidR="00592FD9" w14:paraId="0C12DFD7" w14:textId="77777777" w:rsidTr="00742171">
        <w:tc>
          <w:tcPr>
            <w:tcW w:w="2405" w:type="dxa"/>
          </w:tcPr>
          <w:p w14:paraId="691B6068"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5A4E6C51"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0D9E46E8" w14:textId="77777777" w:rsid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nasadenie kontajnerizovaných komponentov informačného systému v cloudovom ekosystéme alebo podobnej inej IaaS infraštruktúry.</w:t>
            </w:r>
          </w:p>
        </w:tc>
      </w:tr>
      <w:tr w:rsidR="00592FD9" w14:paraId="4864885F" w14:textId="77777777" w:rsidTr="00742171">
        <w:tc>
          <w:tcPr>
            <w:tcW w:w="2405" w:type="dxa"/>
          </w:tcPr>
          <w:p w14:paraId="4B21FF5D"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724E7ED4" w14:textId="258F3563"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 xml:space="preserve">Platný certifikát </w:t>
            </w:r>
            <w:r w:rsidR="00065D12">
              <w:rPr>
                <w:rFonts w:ascii="Times New Roman" w:hAnsi="Times New Roman" w:cs="Times New Roman"/>
                <w:sz w:val="22"/>
                <w:szCs w:val="22"/>
              </w:rPr>
              <w:t xml:space="preserve">Microsoft Certified Azure Solutions Architect Expert </w:t>
            </w:r>
            <w:r w:rsidRPr="00592FD9">
              <w:rPr>
                <w:rFonts w:ascii="Times New Roman" w:hAnsi="Times New Roman" w:cs="Times New Roman"/>
                <w:sz w:val="22"/>
                <w:szCs w:val="22"/>
              </w:rPr>
              <w:t>alebo ekvivalent daného certifikátu vydaný medzinárodne uznávanou akreditačnou a certifikačnou autoritou.</w:t>
            </w:r>
          </w:p>
        </w:tc>
      </w:tr>
      <w:tr w:rsidR="00742171" w14:paraId="7FE55BDD" w14:textId="77777777" w:rsidTr="00742171">
        <w:tc>
          <w:tcPr>
            <w:tcW w:w="9403" w:type="dxa"/>
            <w:gridSpan w:val="2"/>
            <w:shd w:val="clear" w:color="auto" w:fill="BFBFBF" w:themeFill="background1" w:themeFillShade="BF"/>
          </w:tcPr>
          <w:p w14:paraId="53D07A01"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8 Hlavný tester (IT tester)</w:t>
            </w:r>
          </w:p>
        </w:tc>
      </w:tr>
      <w:tr w:rsidR="00592FD9" w14:paraId="5833C0A4" w14:textId="77777777" w:rsidTr="00742171">
        <w:tc>
          <w:tcPr>
            <w:tcW w:w="2405" w:type="dxa"/>
          </w:tcPr>
          <w:p w14:paraId="1D0235E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78D9D7AB"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testovania informačných systémov.</w:t>
            </w:r>
          </w:p>
        </w:tc>
      </w:tr>
      <w:tr w:rsidR="00592FD9" w14:paraId="48FF9E10" w14:textId="77777777" w:rsidTr="00742171">
        <w:tc>
          <w:tcPr>
            <w:tcW w:w="2405" w:type="dxa"/>
          </w:tcPr>
          <w:p w14:paraId="547247CA"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3F39060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09A8CE67"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tvorbu stratégie testovania a plánu testovania informačného systému a testovanie informačného systému.</w:t>
            </w:r>
          </w:p>
          <w:p w14:paraId="2C02FE11"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testovanie informačného systému, ktorý spĺňal nasledovné podmienky:</w:t>
            </w:r>
          </w:p>
          <w:p w14:paraId="09D991F2"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lastRenderedPageBreak/>
              <w:t xml:space="preserve">predmetom projektu bola integrácia systémov medzi organizáciami na úrovni výmeny údajov prostredníctvom integračnej platformy. </w:t>
            </w:r>
          </w:p>
          <w:p w14:paraId="7AC09421" w14:textId="72F6DF16" w:rsid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integrácie v rámci tohto Projektu musela byť integrácia informačného systému na min. </w:t>
            </w:r>
            <w:r w:rsidR="00065D12">
              <w:rPr>
                <w:rFonts w:ascii="Times New Roman" w:hAnsi="Times New Roman" w:cs="Times New Roman"/>
                <w:sz w:val="22"/>
                <w:szCs w:val="22"/>
              </w:rPr>
              <w:t>15</w:t>
            </w:r>
            <w:r w:rsidRPr="00592FD9">
              <w:rPr>
                <w:rFonts w:ascii="Times New Roman" w:hAnsi="Times New Roman" w:cs="Times New Roman"/>
                <w:sz w:val="22"/>
                <w:szCs w:val="22"/>
              </w:rPr>
              <w:t xml:space="preserve"> rôznych organizácií resp. subjektov.</w:t>
            </w:r>
          </w:p>
        </w:tc>
      </w:tr>
      <w:tr w:rsidR="00592FD9" w14:paraId="482E9B28" w14:textId="77777777" w:rsidTr="00742171">
        <w:tc>
          <w:tcPr>
            <w:tcW w:w="2405" w:type="dxa"/>
          </w:tcPr>
          <w:p w14:paraId="115FB13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vzdelanie a certifikáciu</w:t>
            </w:r>
          </w:p>
        </w:tc>
        <w:tc>
          <w:tcPr>
            <w:tcW w:w="6998" w:type="dxa"/>
          </w:tcPr>
          <w:p w14:paraId="1F1D756D"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ISTQB min. úrovne Advanced alebo ekvivalent daného certifikátu vydaný medzinárodne uznávanou akreditačnou a certifikačnou autoritou.</w:t>
            </w:r>
          </w:p>
        </w:tc>
      </w:tr>
      <w:tr w:rsidR="00742171" w14:paraId="78324BDC" w14:textId="77777777" w:rsidTr="00742171">
        <w:tc>
          <w:tcPr>
            <w:tcW w:w="9403" w:type="dxa"/>
            <w:gridSpan w:val="2"/>
            <w:shd w:val="clear" w:color="auto" w:fill="BFBFBF" w:themeFill="background1" w:themeFillShade="BF"/>
          </w:tcPr>
          <w:p w14:paraId="3F032F17"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9 Tester (IT tester)</w:t>
            </w:r>
          </w:p>
        </w:tc>
      </w:tr>
      <w:tr w:rsidR="00592FD9" w14:paraId="04D55344" w14:textId="77777777" w:rsidTr="00742171">
        <w:tc>
          <w:tcPr>
            <w:tcW w:w="2405" w:type="dxa"/>
          </w:tcPr>
          <w:p w14:paraId="3C953434"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43007D57"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3 roky odbornej praxe na pracovnej pozícii, na ktorej expert aktívne vykonával činnosti testovania informačných systémov.</w:t>
            </w:r>
          </w:p>
        </w:tc>
      </w:tr>
      <w:tr w:rsidR="00592FD9" w14:paraId="483DBDA5" w14:textId="77777777" w:rsidTr="00742171">
        <w:tc>
          <w:tcPr>
            <w:tcW w:w="2405" w:type="dxa"/>
          </w:tcPr>
          <w:p w14:paraId="06E8175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10D3606F"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18274C48"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testovanie informačného systému, pričom zodpovedal minimálne za nasledovný rozsah činností:</w:t>
            </w:r>
          </w:p>
          <w:p w14:paraId="36A62459"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Pr>
                <w:rFonts w:ascii="Times New Roman" w:hAnsi="Times New Roman" w:cs="Times New Roman"/>
                <w:sz w:val="22"/>
                <w:szCs w:val="22"/>
              </w:rPr>
              <w:t>t</w:t>
            </w:r>
            <w:r w:rsidRPr="00592FD9">
              <w:rPr>
                <w:rFonts w:ascii="Times New Roman" w:hAnsi="Times New Roman" w:cs="Times New Roman"/>
                <w:sz w:val="22"/>
                <w:szCs w:val="22"/>
              </w:rPr>
              <w:t>vorba testovacích scenárov;</w:t>
            </w:r>
          </w:p>
          <w:p w14:paraId="1ECD3B08"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analýza biznis zadaní;</w:t>
            </w:r>
          </w:p>
          <w:p w14:paraId="425E6D6F"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komunikácia s vývojárskym tímom;</w:t>
            </w:r>
          </w:p>
          <w:p w14:paraId="3B9918C3"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príprava a realizácia manuálnych a automatizovaných testov s použitím trackovacích nástrojov (napr. JIRA).</w:t>
            </w:r>
          </w:p>
          <w:p w14:paraId="7B57B7B8"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testovanie informačného systému, ktorý spĺňal nasledovné podmienky:</w:t>
            </w:r>
          </w:p>
          <w:p w14:paraId="6F30079A" w14:textId="77777777" w:rsidR="00592FD9" w:rsidRP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projektu bola integrácia systémov medzi organizáciami na úrovni výmeny údajov prostredníctvom integračnej platformy. </w:t>
            </w:r>
          </w:p>
          <w:p w14:paraId="20A07F3B" w14:textId="18767879" w:rsidR="00592FD9" w:rsidRDefault="00592FD9" w:rsidP="00592FD9">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 xml:space="preserve">predmetom integrácie v rámci tohto Projektu musela byť integrácia informačného systému na min. </w:t>
            </w:r>
            <w:r w:rsidR="00065D12">
              <w:rPr>
                <w:rFonts w:ascii="Times New Roman" w:hAnsi="Times New Roman" w:cs="Times New Roman"/>
                <w:sz w:val="22"/>
                <w:szCs w:val="22"/>
              </w:rPr>
              <w:t>15</w:t>
            </w:r>
            <w:r w:rsidRPr="00592FD9">
              <w:rPr>
                <w:rFonts w:ascii="Times New Roman" w:hAnsi="Times New Roman" w:cs="Times New Roman"/>
                <w:sz w:val="22"/>
                <w:szCs w:val="22"/>
              </w:rPr>
              <w:t xml:space="preserve"> rôznych organizácií resp. subjektov.</w:t>
            </w:r>
          </w:p>
        </w:tc>
      </w:tr>
      <w:tr w:rsidR="00592FD9" w14:paraId="66E473BB" w14:textId="77777777" w:rsidTr="00742171">
        <w:tc>
          <w:tcPr>
            <w:tcW w:w="2405" w:type="dxa"/>
          </w:tcPr>
          <w:p w14:paraId="03A13A29"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5B40FADA"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ISTQB min. úrovne Foundation alebo ekvivalent daného certifikátu vydaný medzinárodne uznávanou akreditačnou a certifikačnou autoritou.</w:t>
            </w:r>
          </w:p>
        </w:tc>
      </w:tr>
      <w:tr w:rsidR="00742171" w14:paraId="4B6DF410" w14:textId="77777777" w:rsidTr="00742171">
        <w:tc>
          <w:tcPr>
            <w:tcW w:w="9403" w:type="dxa"/>
            <w:gridSpan w:val="2"/>
            <w:shd w:val="clear" w:color="auto" w:fill="BFBFBF" w:themeFill="background1" w:themeFillShade="BF"/>
          </w:tcPr>
          <w:p w14:paraId="6538B468"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č. 10 - Špecialista pre databázové technológie</w:t>
            </w:r>
          </w:p>
        </w:tc>
      </w:tr>
      <w:tr w:rsidR="00592FD9" w14:paraId="10C73D82" w14:textId="77777777" w:rsidTr="00742171">
        <w:tc>
          <w:tcPr>
            <w:tcW w:w="2405" w:type="dxa"/>
          </w:tcPr>
          <w:p w14:paraId="5438F46F"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2806325F"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v oblasti vývoja a správy databázových technológií.</w:t>
            </w:r>
          </w:p>
        </w:tc>
      </w:tr>
      <w:tr w:rsidR="00592FD9" w14:paraId="412610B5" w14:textId="77777777" w:rsidTr="00742171">
        <w:tc>
          <w:tcPr>
            <w:tcW w:w="2405" w:type="dxa"/>
          </w:tcPr>
          <w:p w14:paraId="468F5348"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037ACDB2"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praktická skúsenosť spĺňajúca nasledovné podmienky</w:t>
            </w:r>
          </w:p>
          <w:p w14:paraId="1931E5A8"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poskytujúcej podporu informačného systému v oblasti databázových technológií;</w:t>
            </w:r>
          </w:p>
          <w:p w14:paraId="2A441627"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lastRenderedPageBreak/>
              <w:t>Odborník na danom projekte zastával pozíciu osoby zodpovednej za optimalizáciu výkonu systému po nasadení do prevádzky a zodpovedal za plán obnovy po havárii.</w:t>
            </w:r>
          </w:p>
          <w:p w14:paraId="1112B1E2"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Jednalo sa o projektu informačného systému databázových technológií, ktorý spĺňal nasledovné parametre:</w:t>
            </w:r>
          </w:p>
          <w:p w14:paraId="29D08FB6" w14:textId="719A0353" w:rsidR="00592FD9" w:rsidRPr="00065D12" w:rsidRDefault="00592FD9" w:rsidP="00065D12">
            <w:pPr>
              <w:pStyle w:val="Odsekzoznamu"/>
              <w:numPr>
                <w:ilvl w:val="1"/>
                <w:numId w:val="13"/>
              </w:numPr>
              <w:spacing w:before="120" w:after="120"/>
              <w:ind w:left="609" w:hanging="284"/>
              <w:contextualSpacing w:val="0"/>
              <w:jc w:val="both"/>
              <w:rPr>
                <w:rFonts w:ascii="Times New Roman" w:hAnsi="Times New Roman" w:cs="Times New Roman"/>
                <w:sz w:val="22"/>
                <w:szCs w:val="22"/>
              </w:rPr>
            </w:pPr>
            <w:r w:rsidRPr="00592FD9">
              <w:rPr>
                <w:rFonts w:ascii="Times New Roman" w:hAnsi="Times New Roman" w:cs="Times New Roman"/>
                <w:sz w:val="22"/>
                <w:szCs w:val="22"/>
              </w:rPr>
              <w:t>Informačný systém bol prevádzkovaných v režime vysokej dostupnosti na úrovni minimálne 99 %</w:t>
            </w:r>
          </w:p>
        </w:tc>
      </w:tr>
      <w:tr w:rsidR="00592FD9" w14:paraId="2418BDBE" w14:textId="77777777" w:rsidTr="00742171">
        <w:tc>
          <w:tcPr>
            <w:tcW w:w="2405" w:type="dxa"/>
          </w:tcPr>
          <w:p w14:paraId="6C5BD68E"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vzdelanie a certifikáciu</w:t>
            </w:r>
          </w:p>
        </w:tc>
        <w:tc>
          <w:tcPr>
            <w:tcW w:w="6998" w:type="dxa"/>
          </w:tcPr>
          <w:p w14:paraId="1A42E78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Oracle Database Administrator Certified Professional (pre verziu minimálne 12c) alebo Microsoft Certified Azure Database Administrator Associate alebo PostgreSQL Certified Professional (PCP) alebo ekvivalent daného certifikátu vydaný medzinárodne uznávanou akreditačnou a certifikačnou autoritou.</w:t>
            </w:r>
          </w:p>
          <w:p w14:paraId="13B89C61"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min. úrovne ITIL Foundation alebo ekvivalent daného certifikátu vydaný medzinárodne uznávanou akreditačnou a certifikačnou autoritou.</w:t>
            </w:r>
          </w:p>
          <w:p w14:paraId="2C53FE8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pre oblasť návrhu architektúry IT TOGAF 9 min. úrovne Foundation alebo ekvivalent daného certifikátu vydaný medzinárodne uznávanou akreditačnou a certifikačnou autoritou</w:t>
            </w:r>
          </w:p>
          <w:p w14:paraId="2D58008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s minimálnou úrovňou Archimate 3 Foundation alebo ekvivalent daného certifikátu vydaný medzinárodne uznávanou akreditačnou a certifikačnou autoritou.</w:t>
            </w:r>
          </w:p>
        </w:tc>
      </w:tr>
      <w:tr w:rsidR="00742171" w14:paraId="36ABBD7B" w14:textId="77777777" w:rsidTr="00742171">
        <w:tc>
          <w:tcPr>
            <w:tcW w:w="9403" w:type="dxa"/>
            <w:gridSpan w:val="2"/>
            <w:shd w:val="clear" w:color="auto" w:fill="BFBFBF" w:themeFill="background1" w:themeFillShade="BF"/>
          </w:tcPr>
          <w:p w14:paraId="6433EA2D"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11 Špecialista pre bezpečnosť IT</w:t>
            </w:r>
          </w:p>
        </w:tc>
      </w:tr>
      <w:tr w:rsidR="00592FD9" w14:paraId="5EF44E0A" w14:textId="77777777" w:rsidTr="00742171">
        <w:tc>
          <w:tcPr>
            <w:tcW w:w="2405" w:type="dxa"/>
          </w:tcPr>
          <w:p w14:paraId="7590D83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50C2DF10"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3 roky odbornej praxe na pracovnej pozícii, na ktorej expert aktívne vykonával činnosti v oblasti bezpečnosti informačných systémov.</w:t>
            </w:r>
          </w:p>
        </w:tc>
      </w:tr>
      <w:tr w:rsidR="00592FD9" w14:paraId="57AA0763" w14:textId="77777777" w:rsidTr="00742171">
        <w:tc>
          <w:tcPr>
            <w:tcW w:w="2405" w:type="dxa"/>
          </w:tcPr>
          <w:p w14:paraId="5D62BEAE"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303A0C61"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2C6FCA20" w14:textId="67847906" w:rsidR="00592FD9" w:rsidRPr="00065D12" w:rsidRDefault="00592FD9" w:rsidP="00065D12">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implementáciu bezpečnostných opatrení softvérových riešení vrátane realizácie bezpečnostného projektu.</w:t>
            </w:r>
          </w:p>
        </w:tc>
      </w:tr>
      <w:tr w:rsidR="00592FD9" w14:paraId="1A1D08B9" w14:textId="77777777" w:rsidTr="00742171">
        <w:tc>
          <w:tcPr>
            <w:tcW w:w="2405" w:type="dxa"/>
          </w:tcPr>
          <w:p w14:paraId="30EA5208"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2859DA6B"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CISM alebo CISA  alebo CISSP alebo CRISC alebo ekvivalent daného certifikátu vydaný medzinárodne uznávanou akreditačnou a certifikačnou autoritou.</w:t>
            </w:r>
          </w:p>
        </w:tc>
      </w:tr>
      <w:tr w:rsidR="00742171" w14:paraId="64BBFF44" w14:textId="77777777" w:rsidTr="00742171">
        <w:tc>
          <w:tcPr>
            <w:tcW w:w="9403" w:type="dxa"/>
            <w:gridSpan w:val="2"/>
            <w:shd w:val="clear" w:color="auto" w:fill="BFBFBF" w:themeFill="background1" w:themeFillShade="BF"/>
          </w:tcPr>
          <w:p w14:paraId="66E4707B"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12 Manažér inštalačných činností</w:t>
            </w:r>
          </w:p>
        </w:tc>
      </w:tr>
      <w:tr w:rsidR="00592FD9" w14:paraId="6F47F877" w14:textId="77777777" w:rsidTr="00742171">
        <w:tc>
          <w:tcPr>
            <w:tcW w:w="2405" w:type="dxa"/>
          </w:tcPr>
          <w:p w14:paraId="1B3CB2B7"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02A0D640"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v oblasti riadenia projektov inštalačných prác elektrických technických zariadení.</w:t>
            </w:r>
          </w:p>
        </w:tc>
      </w:tr>
      <w:tr w:rsidR="00592FD9" w14:paraId="6FE0672C" w14:textId="77777777" w:rsidTr="00742171">
        <w:tc>
          <w:tcPr>
            <w:tcW w:w="2405" w:type="dxa"/>
          </w:tcPr>
          <w:p w14:paraId="3713D54F"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0EEB0DA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6A773387"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lastRenderedPageBreak/>
              <w:t>Odborník na danom projekte zastával pozíciu projektového manažéra zodpovedného za riadenie projektu.</w:t>
            </w:r>
          </w:p>
          <w:p w14:paraId="7A00B1E8"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Predmetom tohto projektu bola inštalácia elektrických technických zariadení vo vozidlách verejnej osobnej dopravy;</w:t>
            </w:r>
          </w:p>
          <w:p w14:paraId="07B618C1"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Predmetom projektu bola inštalácia elektrických technických zariadení minimálne v 150 vozidlách verejnej osobnej dopravy.</w:t>
            </w:r>
          </w:p>
        </w:tc>
      </w:tr>
      <w:tr w:rsidR="00592FD9" w14:paraId="3D78D377" w14:textId="77777777" w:rsidTr="00742171">
        <w:tc>
          <w:tcPr>
            <w:tcW w:w="2405" w:type="dxa"/>
          </w:tcPr>
          <w:p w14:paraId="0EE2F2A2"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lastRenderedPageBreak/>
              <w:t>Požiadavky na vzdelanie a certifikáciu</w:t>
            </w:r>
          </w:p>
        </w:tc>
        <w:tc>
          <w:tcPr>
            <w:tcW w:w="6998" w:type="dxa"/>
          </w:tcPr>
          <w:p w14:paraId="3382D6D7"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Platný certifikát PRINCE 2 Practitioner, alebo  IPMA level C alebo ekvivalent daného certifikátu vydaný medzinárodne uznávanou akreditačnou a certifikačnou autoritou.</w:t>
            </w:r>
          </w:p>
        </w:tc>
      </w:tr>
      <w:tr w:rsidR="00742171" w14:paraId="69B0ECBE" w14:textId="77777777" w:rsidTr="00742171">
        <w:tc>
          <w:tcPr>
            <w:tcW w:w="9403" w:type="dxa"/>
            <w:gridSpan w:val="2"/>
            <w:shd w:val="clear" w:color="auto" w:fill="BFBFBF" w:themeFill="background1" w:themeFillShade="BF"/>
          </w:tcPr>
          <w:p w14:paraId="5F556282" w14:textId="77777777" w:rsidR="00742171" w:rsidRPr="00742171" w:rsidRDefault="00742171" w:rsidP="00592FD9">
            <w:pPr>
              <w:spacing w:before="120" w:after="120"/>
              <w:jc w:val="both"/>
              <w:rPr>
                <w:rFonts w:ascii="Times New Roman" w:hAnsi="Times New Roman" w:cs="Times New Roman"/>
                <w:b/>
                <w:sz w:val="22"/>
                <w:szCs w:val="22"/>
              </w:rPr>
            </w:pPr>
            <w:r w:rsidRPr="00742171">
              <w:rPr>
                <w:rFonts w:ascii="Times New Roman" w:hAnsi="Times New Roman" w:cs="Times New Roman"/>
                <w:b/>
                <w:sz w:val="22"/>
                <w:szCs w:val="22"/>
              </w:rPr>
              <w:t>Kľúčový expert č. 13 Vedúci inštalačných a servisných činností</w:t>
            </w:r>
          </w:p>
        </w:tc>
      </w:tr>
      <w:tr w:rsidR="00592FD9" w14:paraId="122C78A6" w14:textId="77777777" w:rsidTr="00742171">
        <w:tc>
          <w:tcPr>
            <w:tcW w:w="2405" w:type="dxa"/>
          </w:tcPr>
          <w:p w14:paraId="437714DB"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prax</w:t>
            </w:r>
          </w:p>
        </w:tc>
        <w:tc>
          <w:tcPr>
            <w:tcW w:w="6998" w:type="dxa"/>
          </w:tcPr>
          <w:p w14:paraId="4A67FB9C"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5 rokov odbornej praxe na pracovnej pozícii, na ktorej expert aktívne vykonával činnosti v oblasti inštalácie elektrických technických zariadení vo vozidlách verejnej osobnej dopravy.</w:t>
            </w:r>
          </w:p>
        </w:tc>
      </w:tr>
      <w:tr w:rsidR="00592FD9" w14:paraId="5B52653D" w14:textId="77777777" w:rsidTr="00742171">
        <w:tc>
          <w:tcPr>
            <w:tcW w:w="2405" w:type="dxa"/>
          </w:tcPr>
          <w:p w14:paraId="4F1D3E23"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praktické skúsenosti</w:t>
            </w:r>
          </w:p>
        </w:tc>
        <w:tc>
          <w:tcPr>
            <w:tcW w:w="6998" w:type="dxa"/>
          </w:tcPr>
          <w:p w14:paraId="2FE5A9A5" w14:textId="77777777" w:rsidR="00592FD9" w:rsidRP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Minimálne 1 profesionálna praktická skúsenosť spĺňajúca nasledovné podmienky</w:t>
            </w:r>
          </w:p>
          <w:p w14:paraId="18A9EC1F"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Predmetom tohto projektu bola inštalácia elektrických technických zariadení vo vozidlách verejnej osobnej dopravy;</w:t>
            </w:r>
          </w:p>
          <w:p w14:paraId="49D4182F"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Odborník na danom projekte zastával pozíciu osoby zodpovednej za inštaláciu elektrických technických zariadení vo vozidlách verejnej osobnej dopravy.</w:t>
            </w:r>
          </w:p>
          <w:p w14:paraId="68B0A261" w14:textId="77777777" w:rsidR="00592FD9" w:rsidRPr="00592FD9" w:rsidRDefault="00592FD9" w:rsidP="00592FD9">
            <w:pPr>
              <w:pStyle w:val="Odsekzoznamu"/>
              <w:numPr>
                <w:ilvl w:val="0"/>
                <w:numId w:val="13"/>
              </w:numPr>
              <w:spacing w:before="120" w:after="120"/>
              <w:contextualSpacing w:val="0"/>
              <w:jc w:val="both"/>
              <w:rPr>
                <w:rFonts w:ascii="Times New Roman" w:hAnsi="Times New Roman" w:cs="Times New Roman"/>
                <w:sz w:val="22"/>
                <w:szCs w:val="22"/>
              </w:rPr>
            </w:pPr>
            <w:r w:rsidRPr="00592FD9">
              <w:rPr>
                <w:rFonts w:ascii="Times New Roman" w:hAnsi="Times New Roman" w:cs="Times New Roman"/>
                <w:sz w:val="22"/>
                <w:szCs w:val="22"/>
              </w:rPr>
              <w:t>Predmetom projektu bola inštalácia elektrických technických zariadení minimálne v 150 vozidlách verejnej osobnej dopravy.</w:t>
            </w:r>
          </w:p>
        </w:tc>
      </w:tr>
      <w:tr w:rsidR="00592FD9" w14:paraId="0DC3F9AE" w14:textId="77777777" w:rsidTr="00742171">
        <w:tc>
          <w:tcPr>
            <w:tcW w:w="2405" w:type="dxa"/>
          </w:tcPr>
          <w:p w14:paraId="0302B49F" w14:textId="77777777" w:rsidR="00592FD9" w:rsidRDefault="00592FD9" w:rsidP="00592FD9">
            <w:pPr>
              <w:spacing w:before="120" w:after="120"/>
              <w:jc w:val="both"/>
              <w:rPr>
                <w:rFonts w:ascii="Times New Roman" w:hAnsi="Times New Roman" w:cs="Times New Roman"/>
                <w:sz w:val="22"/>
                <w:szCs w:val="22"/>
              </w:rPr>
            </w:pPr>
            <w:r w:rsidRPr="00742171">
              <w:rPr>
                <w:rFonts w:ascii="Times New Roman" w:hAnsi="Times New Roman" w:cs="Times New Roman"/>
                <w:sz w:val="22"/>
                <w:szCs w:val="22"/>
              </w:rPr>
              <w:t>Požiadavky na vzdelanie a certifikáciu</w:t>
            </w:r>
          </w:p>
        </w:tc>
        <w:tc>
          <w:tcPr>
            <w:tcW w:w="6998" w:type="dxa"/>
          </w:tcPr>
          <w:p w14:paraId="19D7FAFA" w14:textId="77777777" w:rsidR="00592FD9" w:rsidRDefault="00592FD9" w:rsidP="00592FD9">
            <w:pPr>
              <w:spacing w:before="120" w:after="120"/>
              <w:jc w:val="both"/>
              <w:rPr>
                <w:rFonts w:ascii="Times New Roman" w:hAnsi="Times New Roman" w:cs="Times New Roman"/>
                <w:sz w:val="22"/>
                <w:szCs w:val="22"/>
              </w:rPr>
            </w:pPr>
            <w:r w:rsidRPr="00592FD9">
              <w:rPr>
                <w:rFonts w:ascii="Times New Roman" w:hAnsi="Times New Roman" w:cs="Times New Roman"/>
                <w:sz w:val="22"/>
                <w:szCs w:val="22"/>
              </w:rPr>
              <w:t>Platné osvedčenie o spôsobilosti na činnosť elektrotechnik na riadenie činnosti alebo na riadenie prevádzky podľa ustanovenia § 23 vyhlášky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tc>
      </w:tr>
    </w:tbl>
    <w:p w14:paraId="324E3CD0" w14:textId="77777777" w:rsidR="00585E42" w:rsidRDefault="00585E42" w:rsidP="00585E42">
      <w:pPr>
        <w:spacing w:after="240"/>
        <w:jc w:val="both"/>
        <w:rPr>
          <w:rFonts w:ascii="Times New Roman" w:hAnsi="Times New Roman" w:cs="Times New Roman"/>
          <w:sz w:val="22"/>
          <w:szCs w:val="22"/>
        </w:rPr>
      </w:pPr>
    </w:p>
    <w:p w14:paraId="7E7FBEAA" w14:textId="77777777" w:rsidR="00151DBA" w:rsidRPr="00151DBA" w:rsidRDefault="00151DBA" w:rsidP="00151DBA">
      <w:pPr>
        <w:spacing w:after="240"/>
        <w:jc w:val="both"/>
        <w:rPr>
          <w:rFonts w:ascii="Times New Roman" w:hAnsi="Times New Roman" w:cs="Times New Roman"/>
          <w:sz w:val="22"/>
          <w:szCs w:val="22"/>
        </w:rPr>
      </w:pPr>
    </w:p>
    <w:p w14:paraId="05C28E6D" w14:textId="77777777" w:rsidR="00151DBA" w:rsidRPr="00151DBA" w:rsidRDefault="00151DBA" w:rsidP="00151DBA">
      <w:pPr>
        <w:spacing w:after="240"/>
        <w:jc w:val="both"/>
        <w:rPr>
          <w:rFonts w:ascii="Times New Roman" w:hAnsi="Times New Roman" w:cs="Times New Roman"/>
          <w:sz w:val="22"/>
          <w:szCs w:val="22"/>
        </w:rPr>
      </w:pPr>
    </w:p>
    <w:p w14:paraId="13DE9915" w14:textId="77777777" w:rsidR="00151DBA" w:rsidRPr="00151DBA" w:rsidRDefault="00151DBA" w:rsidP="00151DBA">
      <w:pPr>
        <w:pStyle w:val="Odsekzoznamu"/>
        <w:numPr>
          <w:ilvl w:val="1"/>
          <w:numId w:val="6"/>
        </w:numPr>
        <w:tabs>
          <w:tab w:val="clear" w:pos="1080"/>
        </w:tabs>
        <w:spacing w:after="240"/>
        <w:ind w:left="709" w:hanging="709"/>
        <w:contextualSpacing w:val="0"/>
        <w:jc w:val="both"/>
        <w:rPr>
          <w:rFonts w:ascii="Times New Roman" w:hAnsi="Times New Roman" w:cs="Times New Roman"/>
          <w:b/>
          <w:sz w:val="22"/>
          <w:szCs w:val="22"/>
        </w:rPr>
      </w:pPr>
      <w:r w:rsidRPr="00151DBA">
        <w:rPr>
          <w:rFonts w:ascii="Times New Roman" w:hAnsi="Times New Roman" w:cs="Times New Roman"/>
          <w:b/>
          <w:sz w:val="22"/>
          <w:szCs w:val="22"/>
        </w:rPr>
        <w:t>Podmienky účasti podľa ustanovenia § 34 ods. 1 písm. d) ZVO a § 35 ZVO</w:t>
      </w:r>
    </w:p>
    <w:p w14:paraId="5DA377EB" w14:textId="77777777" w:rsidR="00151DBA" w:rsidRPr="00151DBA" w:rsidRDefault="00151DBA" w:rsidP="00151DBA">
      <w:pPr>
        <w:spacing w:after="240"/>
        <w:ind w:left="709"/>
        <w:jc w:val="both"/>
        <w:rPr>
          <w:rFonts w:ascii="Times New Roman" w:hAnsi="Times New Roman" w:cs="Times New Roman"/>
          <w:sz w:val="22"/>
          <w:szCs w:val="22"/>
        </w:rPr>
      </w:pPr>
      <w:r w:rsidRPr="00151DBA">
        <w:rPr>
          <w:rFonts w:ascii="Times New Roman" w:hAnsi="Times New Roman" w:cs="Times New Roman"/>
          <w:sz w:val="22"/>
          <w:szCs w:val="22"/>
        </w:rPr>
        <w:t>Uchádzač musí disponovať nasledovnými platnými certifikátmi vydanými nezávislou inštitúciou, ktorými sa potvrdzuje splnenie požiadaviek technických noriem na systém manažérstva kvality:</w:t>
      </w:r>
    </w:p>
    <w:p w14:paraId="633C6289"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t>ISO 20000 – 1 (Systém manažérstva služieb)</w:t>
      </w:r>
    </w:p>
    <w:p w14:paraId="1E9D1EC1"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t>ISO 27001 (Systém manažérstva informačnej bezpečnosti)</w:t>
      </w:r>
    </w:p>
    <w:p w14:paraId="0CB184B1"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lastRenderedPageBreak/>
        <w:t>ISO 9001 (Systém manažérstva kvality)</w:t>
      </w:r>
    </w:p>
    <w:p w14:paraId="113C4515"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t>ISO 10006 (Systém manažérstva kvality v projektoch)</w:t>
      </w:r>
    </w:p>
    <w:p w14:paraId="5032F4BE"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t>ISO 25000 (Systém manažérstva kvality softvérového produktu)</w:t>
      </w:r>
    </w:p>
    <w:p w14:paraId="4DE40D1E" w14:textId="77777777" w:rsidR="00151DBA" w:rsidRPr="00151DBA" w:rsidRDefault="00151DBA" w:rsidP="00151DBA">
      <w:pPr>
        <w:pStyle w:val="Odsekzoznamu"/>
        <w:numPr>
          <w:ilvl w:val="3"/>
          <w:numId w:val="6"/>
        </w:numPr>
        <w:tabs>
          <w:tab w:val="clear" w:pos="1800"/>
        </w:tabs>
        <w:spacing w:after="240"/>
        <w:ind w:left="1276" w:hanging="567"/>
        <w:contextualSpacing w:val="0"/>
        <w:jc w:val="both"/>
        <w:rPr>
          <w:rFonts w:ascii="Times New Roman" w:hAnsi="Times New Roman" w:cs="Times New Roman"/>
          <w:sz w:val="22"/>
          <w:szCs w:val="22"/>
        </w:rPr>
      </w:pPr>
      <w:r w:rsidRPr="00151DBA">
        <w:rPr>
          <w:rFonts w:ascii="Times New Roman" w:hAnsi="Times New Roman" w:cs="Times New Roman"/>
          <w:sz w:val="22"/>
          <w:szCs w:val="22"/>
        </w:rPr>
        <w:t>ISO 27018 (Systém manažérstva cloudových služieb)</w:t>
      </w:r>
    </w:p>
    <w:p w14:paraId="40D8078C" w14:textId="77777777" w:rsidR="00151DBA" w:rsidRPr="00151DBA" w:rsidRDefault="00151DBA" w:rsidP="00151DBA">
      <w:pPr>
        <w:spacing w:after="240"/>
        <w:ind w:left="709"/>
        <w:jc w:val="both"/>
        <w:rPr>
          <w:rFonts w:ascii="Times New Roman" w:hAnsi="Times New Roman" w:cs="Times New Roman"/>
          <w:sz w:val="22"/>
          <w:szCs w:val="22"/>
        </w:rPr>
      </w:pPr>
      <w:r w:rsidRPr="00151DBA">
        <w:rPr>
          <w:rFonts w:ascii="Times New Roman" w:hAnsi="Times New Roman" w:cs="Times New Roman"/>
          <w:sz w:val="22"/>
          <w:szCs w:val="22"/>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požadovaných noriem systémov manažérstva predložených uchádzačom alebo záujemcom, ktorými preukáže, že ním navrhované opatrenia na zabezpečenie požadovaného systému manažérstva sú v súlade s požadovanými slovenskými technickými normami na požadovaný systém manažérstva.</w:t>
      </w:r>
    </w:p>
    <w:p w14:paraId="3AA662EC" w14:textId="77777777" w:rsidR="00151DBA" w:rsidRPr="00151DBA" w:rsidRDefault="00151DBA" w:rsidP="00151DBA">
      <w:pPr>
        <w:pStyle w:val="Odsekzoznamu"/>
        <w:numPr>
          <w:ilvl w:val="1"/>
          <w:numId w:val="6"/>
        </w:numPr>
        <w:tabs>
          <w:tab w:val="clear" w:pos="1080"/>
        </w:tabs>
        <w:spacing w:after="240"/>
        <w:ind w:left="709" w:hanging="709"/>
        <w:contextualSpacing w:val="0"/>
        <w:jc w:val="both"/>
        <w:rPr>
          <w:rFonts w:ascii="Times New Roman" w:hAnsi="Times New Roman" w:cs="Times New Roman"/>
          <w:b/>
          <w:sz w:val="22"/>
          <w:szCs w:val="22"/>
        </w:rPr>
      </w:pPr>
      <w:r w:rsidRPr="00151DBA">
        <w:rPr>
          <w:rFonts w:ascii="Times New Roman" w:hAnsi="Times New Roman" w:cs="Times New Roman"/>
          <w:b/>
          <w:sz w:val="22"/>
          <w:szCs w:val="22"/>
        </w:rPr>
        <w:t>Podmienky účasti podľa § 34 ods. 1 písm. l) ZVO</w:t>
      </w:r>
    </w:p>
    <w:p w14:paraId="1C2DC224" w14:textId="77777777" w:rsidR="00151DBA" w:rsidRPr="00151DBA" w:rsidRDefault="00151DBA" w:rsidP="00151DBA">
      <w:pPr>
        <w:spacing w:after="240"/>
        <w:ind w:left="709"/>
        <w:jc w:val="both"/>
        <w:rPr>
          <w:rFonts w:ascii="Times New Roman" w:hAnsi="Times New Roman" w:cs="Times New Roman"/>
          <w:sz w:val="22"/>
          <w:szCs w:val="22"/>
        </w:rPr>
      </w:pPr>
      <w:r w:rsidRPr="00151DBA">
        <w:rPr>
          <w:rFonts w:ascii="Times New Roman" w:hAnsi="Times New Roman" w:cs="Times New Roman"/>
          <w:sz w:val="22"/>
          <w:szCs w:val="22"/>
        </w:rPr>
        <w:t>Uchádzač podľa § 34 ods. 1 písm. l) ZVO v spojení s ustanovením § 41 ods. 1 písm. a) ZVO uvedie podiel plnenia zo zmluvy, ktorý má uchádzač alebo záujemca v úmysle zabezpečiť subdodávateľom, navrhovaných subdodávateľov a predmety subdodávok.</w:t>
      </w:r>
    </w:p>
    <w:p w14:paraId="227DA0B8" w14:textId="77777777" w:rsidR="00151DBA" w:rsidRPr="00151DBA" w:rsidRDefault="00151DBA" w:rsidP="00151DBA">
      <w:pPr>
        <w:spacing w:after="240"/>
        <w:ind w:left="709"/>
        <w:jc w:val="both"/>
        <w:rPr>
          <w:rFonts w:ascii="Times New Roman" w:hAnsi="Times New Roman" w:cs="Times New Roman"/>
          <w:sz w:val="22"/>
          <w:szCs w:val="22"/>
        </w:rPr>
      </w:pPr>
      <w:r w:rsidRPr="00151DBA">
        <w:rPr>
          <w:rFonts w:ascii="Times New Roman" w:hAnsi="Times New Roman" w:cs="Times New Roman"/>
          <w:sz w:val="22"/>
          <w:szCs w:val="22"/>
        </w:rPr>
        <w:t>Za týmto účelom uchádzač vyplní a v rámci ponuky predloží Prílohu č. 5 Zmluvy o Dielo a Prílohu č. 5 SLA Zmluvy.</w:t>
      </w:r>
    </w:p>
    <w:p w14:paraId="488B6AD1" w14:textId="77777777" w:rsidR="00151DBA" w:rsidRPr="00151DBA" w:rsidRDefault="00151DBA" w:rsidP="00151DBA">
      <w:pPr>
        <w:spacing w:after="240"/>
        <w:ind w:left="709"/>
        <w:jc w:val="both"/>
        <w:rPr>
          <w:rFonts w:ascii="Times New Roman" w:hAnsi="Times New Roman" w:cs="Times New Roman"/>
          <w:sz w:val="22"/>
          <w:szCs w:val="22"/>
        </w:rPr>
      </w:pPr>
      <w:r w:rsidRPr="00151DBA">
        <w:rPr>
          <w:rFonts w:ascii="Times New Roman" w:hAnsi="Times New Roman" w:cs="Times New Roman"/>
          <w:sz w:val="22"/>
          <w:szCs w:val="22"/>
        </w:rPr>
        <w:t>Podľa § 41 ods. 1 písm. b) ZVO zároveň Verejný obstarávateľ požaduje, aby každý navrhovaný subdodávateľ spĺňal podmienky účasti týkajúce sa osobného postavenia a neexistovali u neho dôvody na vylúčenie podľa § 40 ods. 6 písm. a) až g) ZVO a ods. 7 a 8 ZVO; oprávnenie dodávať tovar, uskutočňovať stavebné práce alebo poskytovať službu sa preukazuje vo vzťahu k tej časti predmetu zákazky, ktorý má subdodávateľ plniť.</w:t>
      </w:r>
    </w:p>
    <w:p w14:paraId="278DA1B4" w14:textId="77777777" w:rsidR="00151DBA" w:rsidRPr="00151DBA" w:rsidRDefault="00151DBA" w:rsidP="00151DBA">
      <w:pPr>
        <w:pStyle w:val="Odsekzoznamu"/>
        <w:numPr>
          <w:ilvl w:val="0"/>
          <w:numId w:val="6"/>
        </w:numPr>
        <w:tabs>
          <w:tab w:val="clear" w:pos="720"/>
        </w:tabs>
        <w:spacing w:before="360" w:after="360"/>
        <w:ind w:hanging="720"/>
        <w:contextualSpacing w:val="0"/>
        <w:jc w:val="both"/>
        <w:rPr>
          <w:rFonts w:ascii="Times New Roman" w:hAnsi="Times New Roman" w:cs="Times New Roman"/>
          <w:b/>
          <w:sz w:val="22"/>
          <w:szCs w:val="22"/>
        </w:rPr>
      </w:pPr>
      <w:r>
        <w:rPr>
          <w:rFonts w:ascii="Times New Roman" w:hAnsi="Times New Roman" w:cs="Times New Roman"/>
          <w:b/>
          <w:sz w:val="22"/>
          <w:szCs w:val="22"/>
        </w:rPr>
        <w:t>V</w:t>
      </w:r>
      <w:r w:rsidRPr="00151DBA">
        <w:rPr>
          <w:rFonts w:ascii="Times New Roman" w:hAnsi="Times New Roman" w:cs="Times New Roman"/>
          <w:b/>
          <w:sz w:val="22"/>
          <w:szCs w:val="22"/>
        </w:rPr>
        <w:t>ŠEOBECNÉ INFORMÁCIE K PREUKAZOVANIU PODMIENOK ÚČASTI:</w:t>
      </w:r>
    </w:p>
    <w:p w14:paraId="7F813EB1" w14:textId="77777777" w:rsidR="00151DBA" w:rsidRPr="00151DBA" w:rsidRDefault="00151DBA" w:rsidP="00151DBA">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151DBA">
        <w:rPr>
          <w:rFonts w:ascii="Times New Roman" w:hAnsi="Times New Roman" w:cs="Times New Roman"/>
          <w:sz w:val="22"/>
          <w:szCs w:val="22"/>
        </w:rPr>
        <w:t>Hospodársky subjekt môže predbežne nahradiť doklady na preukázanie splnenia podmienok účasti určené obstarávateľom jednotným európskym dokumentom v zmysle § 39 zákona o verejnom obstarávaní. Z predloženého jednotného európskeho dokumentu musia jednoznačne vyplývať informácie o splnení všetkých určených podmienok účasti a informácie o spôsobe preukázania určených podmienok účasti podľa § 33 v tomto postupe zadávania zákazky vo väzbe na ustanovenie § 33 ods. 2 zákona o verejnom obstarávaní. Súhrnný materiál obsahujúci zhrnutie základných informácií o jednotnom európskom dokumente pre verejné obstarávanie je možné nájsť na https://www.uvo.gov.sk/jednotny-europsky-dokument-pre-verejne-obstaravanie-602.html</w:t>
      </w:r>
    </w:p>
    <w:p w14:paraId="1C4F175F" w14:textId="77777777" w:rsidR="00151DBA" w:rsidRPr="00E66B81" w:rsidRDefault="00151DBA" w:rsidP="00151DBA">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151DBA">
        <w:rPr>
          <w:rFonts w:ascii="Times New Roman" w:hAnsi="Times New Roman" w:cs="Times New Roman"/>
          <w:sz w:val="22"/>
          <w:szCs w:val="22"/>
        </w:rPr>
        <w:t xml:space="preserve">Verejný obstarávateľ umožňuje vyplniť </w:t>
      </w:r>
      <w:r w:rsidR="00E66B81">
        <w:rPr>
          <w:rFonts w:ascii="Times New Roman" w:hAnsi="Times New Roman" w:cs="Times New Roman"/>
          <w:sz w:val="22"/>
          <w:szCs w:val="22"/>
        </w:rPr>
        <w:t>aj hoci len</w:t>
      </w:r>
      <w:r w:rsidRPr="00151DBA">
        <w:rPr>
          <w:rFonts w:ascii="Times New Roman" w:hAnsi="Times New Roman" w:cs="Times New Roman"/>
          <w:sz w:val="22"/>
          <w:szCs w:val="22"/>
        </w:rPr>
        <w:t xml:space="preserve"> globálny údaj.</w:t>
      </w:r>
    </w:p>
    <w:p w14:paraId="21404FC9" w14:textId="77777777" w:rsidR="00E66B81" w:rsidRPr="00151DBA" w:rsidRDefault="00E66B81" w:rsidP="00E66B81">
      <w:pPr>
        <w:pStyle w:val="Odsekzoznamu"/>
        <w:numPr>
          <w:ilvl w:val="1"/>
          <w:numId w:val="6"/>
        </w:numPr>
        <w:tabs>
          <w:tab w:val="clear" w:pos="1080"/>
        </w:tabs>
        <w:spacing w:after="240"/>
        <w:ind w:left="709" w:hanging="709"/>
        <w:contextualSpacing w:val="0"/>
        <w:jc w:val="both"/>
        <w:rPr>
          <w:rFonts w:ascii="Times New Roman" w:hAnsi="Times New Roman" w:cs="Times New Roman"/>
          <w:sz w:val="22"/>
          <w:szCs w:val="22"/>
        </w:rPr>
      </w:pPr>
      <w:r w:rsidRPr="00151DBA">
        <w:rPr>
          <w:rFonts w:ascii="Times New Roman" w:hAnsi="Times New Roman" w:cs="Times New Roman"/>
          <w:sz w:val="22"/>
          <w:szCs w:val="22"/>
        </w:rPr>
        <w:t>Na prepočet ostatnej meny sa prepočítajú ceny na eur podľa priemerného ročného kurzu ECB (Európskej centrálnej banky) za príslušný kalendárny rok. Za rok 2024 sa použije kurz ECB ku dňu vyhlásenia oznámenia v Úradnom vestníku EÚ.</w:t>
      </w:r>
    </w:p>
    <w:p w14:paraId="3B41954E" w14:textId="77777777" w:rsidR="00585E42" w:rsidRPr="00585E42" w:rsidRDefault="00585E42" w:rsidP="00585E42">
      <w:pPr>
        <w:spacing w:after="240"/>
        <w:jc w:val="both"/>
        <w:rPr>
          <w:rFonts w:ascii="Times New Roman" w:hAnsi="Times New Roman" w:cs="Times New Roman"/>
          <w:sz w:val="22"/>
          <w:szCs w:val="22"/>
        </w:rPr>
      </w:pPr>
    </w:p>
    <w:sectPr w:rsidR="00585E42" w:rsidRPr="00585E42" w:rsidSect="00474D69">
      <w:pgSz w:w="11906" w:h="16838"/>
      <w:pgMar w:top="2269" w:right="1200" w:bottom="1693" w:left="1293" w:header="0" w:footer="111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5A23D" w14:textId="77777777" w:rsidR="00363373" w:rsidRDefault="005677D5">
      <w:r>
        <w:separator/>
      </w:r>
    </w:p>
  </w:endnote>
  <w:endnote w:type="continuationSeparator" w:id="0">
    <w:p w14:paraId="599B48A3" w14:textId="77777777" w:rsidR="00363373" w:rsidRDefault="00567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F6785" w14:textId="77777777" w:rsidR="00363373" w:rsidRDefault="005677D5">
      <w:r>
        <w:separator/>
      </w:r>
    </w:p>
  </w:footnote>
  <w:footnote w:type="continuationSeparator" w:id="0">
    <w:p w14:paraId="2B79E73E" w14:textId="77777777" w:rsidR="00363373" w:rsidRDefault="005677D5">
      <w:r>
        <w:continuationSeparator/>
      </w:r>
    </w:p>
  </w:footnote>
  <w:footnote w:id="1">
    <w:p w14:paraId="043613FD" w14:textId="77777777" w:rsidR="00816A35" w:rsidRPr="00816A35" w:rsidRDefault="00816A35" w:rsidP="00816A35">
      <w:pPr>
        <w:pStyle w:val="Textpoznmkypodiarou"/>
        <w:spacing w:before="120" w:after="120"/>
        <w:ind w:left="142" w:hanging="142"/>
        <w:jc w:val="both"/>
        <w:rPr>
          <w:rFonts w:ascii="Times New Roman" w:hAnsi="Times New Roman" w:cs="Times New Roman"/>
          <w:sz w:val="18"/>
        </w:rPr>
      </w:pPr>
      <w:r w:rsidRPr="00816A35">
        <w:rPr>
          <w:rStyle w:val="Odkaznapoznmkupodiarou"/>
          <w:rFonts w:ascii="Times New Roman" w:hAnsi="Times New Roman" w:cs="Times New Roman"/>
          <w:sz w:val="18"/>
        </w:rPr>
        <w:footnoteRef/>
      </w:r>
      <w:r w:rsidRPr="00816A35">
        <w:rPr>
          <w:rFonts w:ascii="Times New Roman" w:hAnsi="Times New Roman" w:cs="Times New Roman"/>
          <w:sz w:val="18"/>
        </w:rPr>
        <w:t xml:space="preserve"> </w:t>
      </w:r>
      <w:r>
        <w:rPr>
          <w:rFonts w:ascii="Times New Roman" w:hAnsi="Times New Roman" w:cs="Times New Roman"/>
          <w:sz w:val="18"/>
        </w:rPr>
        <w:tab/>
      </w:r>
      <w:r w:rsidRPr="00816A35">
        <w:rPr>
          <w:rFonts w:ascii="Times New Roman" w:hAnsi="Times New Roman" w:cs="Times New Roman"/>
          <w:sz w:val="18"/>
        </w:rPr>
        <w:t xml:space="preserve">Pod pojmom </w:t>
      </w:r>
      <w:r w:rsidRPr="00816A35">
        <w:rPr>
          <w:rFonts w:ascii="Times New Roman" w:hAnsi="Times New Roman" w:cs="Times New Roman"/>
          <w:b/>
          <w:sz w:val="18"/>
        </w:rPr>
        <w:t>Integrácia</w:t>
      </w:r>
      <w:r w:rsidRPr="00816A35">
        <w:rPr>
          <w:rFonts w:ascii="Times New Roman" w:hAnsi="Times New Roman" w:cs="Times New Roman"/>
          <w:sz w:val="18"/>
        </w:rPr>
        <w:t xml:space="preserve"> sa v tomto kontexte myslí prípad, kedy informačný systém umožňuje predaj jedného cestovného lístka na celú kombinovanú cestu a cestovné sa vypočíta podľa individuálnych taríf každého organizátora dopravy, pričom sa zohľadnia dostupné úľavy a zľavy (rôzne pre každého organizátora dopravy).</w:t>
      </w:r>
    </w:p>
  </w:footnote>
  <w:footnote w:id="2">
    <w:p w14:paraId="29A98151" w14:textId="77777777" w:rsidR="00816A35" w:rsidRPr="00816A35" w:rsidRDefault="00816A35" w:rsidP="00816A35">
      <w:pPr>
        <w:pStyle w:val="Textpoznmkypodiarou"/>
        <w:spacing w:before="120" w:after="120"/>
        <w:ind w:left="142" w:hanging="142"/>
        <w:jc w:val="both"/>
        <w:rPr>
          <w:rFonts w:ascii="Times New Roman" w:hAnsi="Times New Roman" w:cs="Times New Roman"/>
          <w:sz w:val="18"/>
        </w:rPr>
      </w:pPr>
      <w:r w:rsidRPr="00816A35">
        <w:rPr>
          <w:rStyle w:val="Odkaznapoznmkupodiarou"/>
          <w:rFonts w:ascii="Times New Roman" w:hAnsi="Times New Roman" w:cs="Times New Roman"/>
          <w:sz w:val="18"/>
        </w:rPr>
        <w:footnoteRef/>
      </w:r>
      <w:r w:rsidRPr="00816A35">
        <w:rPr>
          <w:rFonts w:ascii="Times New Roman" w:hAnsi="Times New Roman" w:cs="Times New Roman"/>
          <w:sz w:val="18"/>
        </w:rPr>
        <w:t xml:space="preserve"> </w:t>
      </w:r>
      <w:r>
        <w:rPr>
          <w:rFonts w:ascii="Times New Roman" w:hAnsi="Times New Roman" w:cs="Times New Roman"/>
          <w:sz w:val="18"/>
        </w:rPr>
        <w:tab/>
      </w:r>
      <w:r w:rsidRPr="00816A35">
        <w:rPr>
          <w:rFonts w:ascii="Times New Roman" w:hAnsi="Times New Roman" w:cs="Times New Roman"/>
          <w:sz w:val="18"/>
        </w:rPr>
        <w:t xml:space="preserve">Pod pojmom </w:t>
      </w:r>
      <w:r w:rsidRPr="00816A35">
        <w:rPr>
          <w:rFonts w:ascii="Times New Roman" w:hAnsi="Times New Roman" w:cs="Times New Roman"/>
          <w:b/>
          <w:sz w:val="18"/>
        </w:rPr>
        <w:t>Klíringové služby</w:t>
      </w:r>
      <w:r w:rsidRPr="00816A35">
        <w:rPr>
          <w:rFonts w:ascii="Times New Roman" w:hAnsi="Times New Roman" w:cs="Times New Roman"/>
          <w:sz w:val="18"/>
        </w:rPr>
        <w:t xml:space="preserve"> sa v tomto kontexte myslí funkcia systému, ktorý počíta a spravuje výpočet poplatkov za verejnú dopravu a zabezpečuje ich rozúčtovanie medzi jednotlivými organizátormi dopravy.</w:t>
      </w:r>
    </w:p>
  </w:footnote>
  <w:footnote w:id="3">
    <w:p w14:paraId="66D2C0F0" w14:textId="77777777" w:rsidR="00816A35" w:rsidRPr="00816A35" w:rsidRDefault="00816A35" w:rsidP="00816A35">
      <w:pPr>
        <w:pStyle w:val="Textpoznmkypodiarou"/>
        <w:spacing w:before="120" w:after="120"/>
        <w:ind w:left="142" w:hanging="142"/>
        <w:jc w:val="both"/>
        <w:rPr>
          <w:rFonts w:ascii="Times New Roman" w:hAnsi="Times New Roman" w:cs="Times New Roman"/>
          <w:sz w:val="18"/>
        </w:rPr>
      </w:pPr>
      <w:r w:rsidRPr="00816A35">
        <w:rPr>
          <w:rStyle w:val="Odkaznapoznmkupodiarou"/>
          <w:rFonts w:ascii="Times New Roman" w:hAnsi="Times New Roman" w:cs="Times New Roman"/>
          <w:sz w:val="18"/>
        </w:rPr>
        <w:footnoteRef/>
      </w:r>
      <w:r w:rsidRPr="00816A35">
        <w:rPr>
          <w:rFonts w:ascii="Times New Roman" w:hAnsi="Times New Roman" w:cs="Times New Roman"/>
          <w:sz w:val="18"/>
        </w:rPr>
        <w:t xml:space="preserve"> </w:t>
      </w:r>
      <w:r>
        <w:rPr>
          <w:rFonts w:ascii="Times New Roman" w:hAnsi="Times New Roman" w:cs="Times New Roman"/>
          <w:sz w:val="18"/>
        </w:rPr>
        <w:tab/>
      </w:r>
      <w:r w:rsidRPr="00816A35">
        <w:rPr>
          <w:rFonts w:ascii="Times New Roman" w:hAnsi="Times New Roman" w:cs="Times New Roman"/>
          <w:sz w:val="18"/>
        </w:rPr>
        <w:t xml:space="preserve">Pod pojmom </w:t>
      </w:r>
      <w:r w:rsidRPr="00816A35">
        <w:rPr>
          <w:rFonts w:ascii="Times New Roman" w:hAnsi="Times New Roman" w:cs="Times New Roman"/>
          <w:b/>
          <w:sz w:val="18"/>
        </w:rPr>
        <w:t>Account base Ticketing</w:t>
      </w:r>
      <w:r w:rsidRPr="00816A35">
        <w:rPr>
          <w:rFonts w:ascii="Times New Roman" w:hAnsi="Times New Roman" w:cs="Times New Roman"/>
          <w:sz w:val="18"/>
        </w:rPr>
        <w:t xml:space="preserve"> sa v tomto kontexte myslí typ predaja cestovných lístkov založených na princípe účtu používateľa v IS, ktorý verejnosti umožňuje inteligentnejšie cestovanie bez papierových lístkov.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0090B"/>
    <w:multiLevelType w:val="hybridMultilevel"/>
    <w:tmpl w:val="EBACD5DE"/>
    <w:lvl w:ilvl="0" w:tplc="21FE88C2">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2" w15:restartNumberingAfterBreak="0">
    <w:nsid w:val="1A40381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3" w15:restartNumberingAfterBreak="0">
    <w:nsid w:val="251124DD"/>
    <w:multiLevelType w:val="hybridMultilevel"/>
    <w:tmpl w:val="F4BA18F6"/>
    <w:lvl w:ilvl="0" w:tplc="06C27E18">
      <w:start w:val="851"/>
      <w:numFmt w:val="bullet"/>
      <w:lvlText w:val="-"/>
      <w:lvlJc w:val="left"/>
      <w:pPr>
        <w:ind w:left="1429" w:hanging="360"/>
      </w:pPr>
      <w:rPr>
        <w:rFonts w:ascii="Times New Roman" w:eastAsiaTheme="minorHAnsi"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DAD6F37"/>
    <w:multiLevelType w:val="hybridMultilevel"/>
    <w:tmpl w:val="27EE3C24"/>
    <w:lvl w:ilvl="0" w:tplc="7408CD08">
      <w:start w:val="1"/>
      <w:numFmt w:val="decimal"/>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2203DD5"/>
    <w:multiLevelType w:val="hybridMultilevel"/>
    <w:tmpl w:val="A106EF16"/>
    <w:lvl w:ilvl="0" w:tplc="6B68E2F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70B6D84"/>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7" w15:restartNumberingAfterBreak="0">
    <w:nsid w:val="3BAF5601"/>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8" w15:restartNumberingAfterBreak="0">
    <w:nsid w:val="3C79217E"/>
    <w:multiLevelType w:val="hybridMultilevel"/>
    <w:tmpl w:val="6AA826EA"/>
    <w:lvl w:ilvl="0" w:tplc="06C27E18">
      <w:start w:val="851"/>
      <w:numFmt w:val="bullet"/>
      <w:lvlText w:val="-"/>
      <w:lvlJc w:val="left"/>
      <w:pPr>
        <w:ind w:left="360" w:hanging="360"/>
      </w:pPr>
      <w:rPr>
        <w:rFonts w:ascii="Times New Roman" w:eastAsiaTheme="minorHAnsi"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4BC21ED2"/>
    <w:multiLevelType w:val="multilevel"/>
    <w:tmpl w:val="B7CC8332"/>
    <w:lvl w:ilvl="0">
      <w:start w:val="1"/>
      <w:numFmt w:val="decimal"/>
      <w:lvlText w:val="%1"/>
      <w:lvlJc w:val="left"/>
      <w:pPr>
        <w:tabs>
          <w:tab w:val="num" w:pos="360"/>
        </w:tabs>
        <w:ind w:left="360" w:hanging="360"/>
      </w:pPr>
      <w:rPr>
        <w:b/>
        <w:bCs w:val="0"/>
      </w:rPr>
    </w:lvl>
    <w:lvl w:ilvl="1">
      <w:start w:val="1"/>
      <w:numFmt w:val="decimal"/>
      <w:lvlText w:val="%1.%2"/>
      <w:lvlJc w:val="left"/>
      <w:pPr>
        <w:tabs>
          <w:tab w:val="num" w:pos="720"/>
        </w:tabs>
        <w:ind w:left="720" w:hanging="360"/>
      </w:pPr>
      <w:rPr>
        <w:b w:val="0"/>
        <w:bCs w:val="0"/>
      </w:rPr>
    </w:lvl>
    <w:lvl w:ilvl="2">
      <w:start w:val="1"/>
      <w:numFmt w:val="decimal"/>
      <w:lvlText w:val="%1.%2.%3"/>
      <w:lvlJc w:val="left"/>
      <w:pPr>
        <w:tabs>
          <w:tab w:val="num" w:pos="1080"/>
        </w:tabs>
        <w:ind w:left="1080" w:hanging="360"/>
      </w:pPr>
      <w:rPr>
        <w:b w:val="0"/>
        <w:bCs w:val="0"/>
      </w:rPr>
    </w:lvl>
    <w:lvl w:ilvl="3">
      <w:start w:val="1"/>
      <w:numFmt w:val="lowerLetter"/>
      <w:lvlText w:val="(%4)"/>
      <w:lvlJc w:val="left"/>
      <w:pPr>
        <w:tabs>
          <w:tab w:val="num" w:pos="1440"/>
        </w:tabs>
        <w:ind w:left="1440" w:hanging="360"/>
      </w:pPr>
      <w:rPr>
        <w:b w:val="0"/>
        <w:bCs w:val="0"/>
      </w:rPr>
    </w:lvl>
    <w:lvl w:ilvl="4">
      <w:start w:val="1"/>
      <w:numFmt w:val="lowerRoman"/>
      <w:lvlText w:val="(%5)"/>
      <w:lvlJc w:val="left"/>
      <w:pPr>
        <w:tabs>
          <w:tab w:val="num" w:pos="1800"/>
        </w:tabs>
        <w:ind w:left="1800" w:hanging="360"/>
      </w:pPr>
      <w:rPr>
        <w:b w:val="0"/>
        <w:bCs w:val="0"/>
      </w:rPr>
    </w:lvl>
    <w:lvl w:ilvl="5">
      <w:start w:val="1"/>
      <w:numFmt w:val="bullet"/>
      <w:lvlText w:val="-"/>
      <w:lvlJc w:val="left"/>
      <w:pPr>
        <w:tabs>
          <w:tab w:val="num" w:pos="2160"/>
        </w:tabs>
        <w:ind w:left="2160" w:hanging="360"/>
      </w:pPr>
      <w:rPr>
        <w:rFonts w:ascii="OpenSymbol" w:hAnsi="OpenSymbol" w:cs="OpenSymbol" w:hint="default"/>
      </w:rPr>
    </w:lvl>
    <w:lvl w:ilvl="6">
      <w:start w:val="1"/>
      <w:numFmt w:val="decimal"/>
      <w:lvlText w:val="%1.%2.%3.%4.%5.%6.%7"/>
      <w:lvlJc w:val="left"/>
      <w:pPr>
        <w:tabs>
          <w:tab w:val="num" w:pos="2520"/>
        </w:tabs>
        <w:ind w:left="2520" w:hanging="360"/>
      </w:pPr>
      <w:rPr>
        <w:b w:val="0"/>
        <w:bCs w:val="0"/>
      </w:rPr>
    </w:lvl>
    <w:lvl w:ilvl="7">
      <w:start w:val="1"/>
      <w:numFmt w:val="decimal"/>
      <w:lvlText w:val="%1.%2.%3.%4.%5.%6.%7.%8"/>
      <w:lvlJc w:val="left"/>
      <w:pPr>
        <w:tabs>
          <w:tab w:val="num" w:pos="2880"/>
        </w:tabs>
        <w:ind w:left="2880" w:hanging="360"/>
      </w:pPr>
      <w:rPr>
        <w:b w:val="0"/>
        <w:bCs w:val="0"/>
      </w:rPr>
    </w:lvl>
    <w:lvl w:ilvl="8">
      <w:start w:val="1"/>
      <w:numFmt w:val="decimal"/>
      <w:lvlText w:val="%1.%2.%3.%4.%5.%6.%7.%8.%9"/>
      <w:lvlJc w:val="left"/>
      <w:pPr>
        <w:tabs>
          <w:tab w:val="num" w:pos="3240"/>
        </w:tabs>
        <w:ind w:left="3240" w:hanging="360"/>
      </w:pPr>
      <w:rPr>
        <w:b w:val="0"/>
        <w:bCs w:val="0"/>
      </w:rPr>
    </w:lvl>
  </w:abstractNum>
  <w:abstractNum w:abstractNumId="10" w15:restartNumberingAfterBreak="0">
    <w:nsid w:val="61467D6F"/>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11"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557494B"/>
    <w:multiLevelType w:val="hybridMultilevel"/>
    <w:tmpl w:val="94EA4848"/>
    <w:lvl w:ilvl="0" w:tplc="041B0015">
      <w:start w:val="1"/>
      <w:numFmt w:val="upperLetter"/>
      <w:lvlText w:val="%1."/>
      <w:lvlJc w:val="left"/>
      <w:pPr>
        <w:ind w:left="720" w:hanging="360"/>
      </w:pPr>
    </w:lvl>
    <w:lvl w:ilvl="1" w:tplc="72AE1C6C">
      <w:start w:val="1"/>
      <w:numFmt w:val="decimal"/>
      <w:lvlText w:val="%2."/>
      <w:lvlJc w:val="left"/>
      <w:pPr>
        <w:ind w:left="1800" w:hanging="720"/>
      </w:pPr>
      <w:rPr>
        <w:rFonts w:hint="default"/>
      </w:rPr>
    </w:lvl>
    <w:lvl w:ilvl="2" w:tplc="474A347A">
      <w:start w:val="1"/>
      <w:numFmt w:val="lowerLetter"/>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8999143">
    <w:abstractNumId w:val="1"/>
  </w:num>
  <w:num w:numId="2" w16cid:durableId="2046522944">
    <w:abstractNumId w:val="11"/>
  </w:num>
  <w:num w:numId="3" w16cid:durableId="1248225312">
    <w:abstractNumId w:val="12"/>
  </w:num>
  <w:num w:numId="4" w16cid:durableId="884754403">
    <w:abstractNumId w:val="7"/>
  </w:num>
  <w:num w:numId="5" w16cid:durableId="1458068617">
    <w:abstractNumId w:val="5"/>
  </w:num>
  <w:num w:numId="6" w16cid:durableId="1225137496">
    <w:abstractNumId w:val="6"/>
  </w:num>
  <w:num w:numId="7" w16cid:durableId="1575696768">
    <w:abstractNumId w:val="4"/>
  </w:num>
  <w:num w:numId="8" w16cid:durableId="1519274004">
    <w:abstractNumId w:val="9"/>
  </w:num>
  <w:num w:numId="9" w16cid:durableId="872578132">
    <w:abstractNumId w:val="0"/>
  </w:num>
  <w:num w:numId="10" w16cid:durableId="905651116">
    <w:abstractNumId w:val="2"/>
  </w:num>
  <w:num w:numId="11" w16cid:durableId="22489105">
    <w:abstractNumId w:val="10"/>
  </w:num>
  <w:num w:numId="12" w16cid:durableId="2089882499">
    <w:abstractNumId w:val="3"/>
  </w:num>
  <w:num w:numId="13" w16cid:durableId="19692379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mirrorMargins/>
  <w:activeWritingStyle w:appName="MSWord" w:lang="en-GB" w:vendorID="64" w:dllVersion="6" w:nlCheck="1" w:checkStyle="0"/>
  <w:proofState w:spelling="clean" w:grammar="clean"/>
  <w:defaultTabStop w:val="720"/>
  <w:autoHyphenation/>
  <w:hyphenationZone w:val="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87"/>
    <w:rsid w:val="000248D3"/>
    <w:rsid w:val="00056286"/>
    <w:rsid w:val="00065D12"/>
    <w:rsid w:val="000E6423"/>
    <w:rsid w:val="00151DBA"/>
    <w:rsid w:val="001E73F3"/>
    <w:rsid w:val="00235D87"/>
    <w:rsid w:val="00256C54"/>
    <w:rsid w:val="00363373"/>
    <w:rsid w:val="00442268"/>
    <w:rsid w:val="00474D69"/>
    <w:rsid w:val="004C7C62"/>
    <w:rsid w:val="004D010A"/>
    <w:rsid w:val="004D748D"/>
    <w:rsid w:val="004F11A5"/>
    <w:rsid w:val="00535964"/>
    <w:rsid w:val="005378DA"/>
    <w:rsid w:val="00567561"/>
    <w:rsid w:val="005677D5"/>
    <w:rsid w:val="00585E42"/>
    <w:rsid w:val="00592FD9"/>
    <w:rsid w:val="005D59B5"/>
    <w:rsid w:val="005E558A"/>
    <w:rsid w:val="006341F7"/>
    <w:rsid w:val="006E1205"/>
    <w:rsid w:val="00742171"/>
    <w:rsid w:val="007865CD"/>
    <w:rsid w:val="00797843"/>
    <w:rsid w:val="00816A35"/>
    <w:rsid w:val="008E0AA2"/>
    <w:rsid w:val="00902ED8"/>
    <w:rsid w:val="00912A60"/>
    <w:rsid w:val="00A53568"/>
    <w:rsid w:val="00A763BF"/>
    <w:rsid w:val="00AB7A48"/>
    <w:rsid w:val="00B06862"/>
    <w:rsid w:val="00B81097"/>
    <w:rsid w:val="00BD1769"/>
    <w:rsid w:val="00BF20FF"/>
    <w:rsid w:val="00C16330"/>
    <w:rsid w:val="00C31ED0"/>
    <w:rsid w:val="00C33BB8"/>
    <w:rsid w:val="00C61804"/>
    <w:rsid w:val="00CA0F30"/>
    <w:rsid w:val="00D935B6"/>
    <w:rsid w:val="00DC0FE1"/>
    <w:rsid w:val="00DD3FDE"/>
    <w:rsid w:val="00E132D3"/>
    <w:rsid w:val="00E25B56"/>
    <w:rsid w:val="00E66B81"/>
    <w:rsid w:val="00E8085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1A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lny"/>
    <w:next w:val="Zkladntext"/>
    <w:qFormat/>
    <w:pPr>
      <w:keepNext/>
      <w:spacing w:before="240" w:after="120"/>
    </w:pPr>
    <w:rPr>
      <w:rFonts w:ascii="Liberation Sans" w:eastAsia="Microsoft YaHei" w:hAnsi="Liberation Sans"/>
      <w:sz w:val="28"/>
      <w:szCs w:val="28"/>
    </w:rPr>
  </w:style>
  <w:style w:type="paragraph" w:styleId="Zkladntext">
    <w:name w:val="Body Text"/>
    <w:basedOn w:val="Normlny"/>
    <w:pPr>
      <w:spacing w:after="140" w:line="276" w:lineRule="auto"/>
    </w:pPr>
  </w:style>
  <w:style w:type="paragraph" w:styleId="Zoznam">
    <w:name w:val="List"/>
    <w:basedOn w:val="Zkladntext"/>
  </w:style>
  <w:style w:type="paragraph" w:styleId="Popis">
    <w:name w:val="caption"/>
    <w:basedOn w:val="Normlny"/>
    <w:qFormat/>
    <w:pPr>
      <w:suppressLineNumbers/>
      <w:spacing w:before="120" w:after="120"/>
    </w:pPr>
    <w:rPr>
      <w:i/>
      <w:iCs/>
    </w:rPr>
  </w:style>
  <w:style w:type="paragraph" w:customStyle="1" w:styleId="Register">
    <w:name w:val="Register"/>
    <w:basedOn w:val="Normlny"/>
    <w:qFormat/>
    <w:pPr>
      <w:suppressLineNumbers/>
    </w:pPr>
  </w:style>
  <w:style w:type="paragraph" w:customStyle="1" w:styleId="Hlavikaapta">
    <w:name w:val="Hlavička a päta"/>
    <w:basedOn w:val="Normlny"/>
    <w:qFormat/>
    <w:pPr>
      <w:suppressLineNumbers/>
      <w:tabs>
        <w:tab w:val="center" w:pos="4620"/>
        <w:tab w:val="right" w:pos="9240"/>
      </w:tabs>
    </w:pPr>
  </w:style>
  <w:style w:type="paragraph" w:styleId="Pta">
    <w:name w:val="footer"/>
    <w:basedOn w:val="Hlavikaapta"/>
    <w:link w:val="PtaChar"/>
    <w:uiPriority w:val="99"/>
  </w:style>
  <w:style w:type="paragraph" w:styleId="Hlavika">
    <w:name w:val="header"/>
    <w:basedOn w:val="Normlny"/>
    <w:link w:val="HlavikaChar"/>
    <w:uiPriority w:val="99"/>
    <w:unhideWhenUsed/>
    <w:rsid w:val="006341F7"/>
    <w:pPr>
      <w:tabs>
        <w:tab w:val="center" w:pos="4536"/>
        <w:tab w:val="right" w:pos="9072"/>
      </w:tabs>
    </w:pPr>
    <w:rPr>
      <w:rFonts w:cs="Mangal"/>
      <w:szCs w:val="21"/>
    </w:rPr>
  </w:style>
  <w:style w:type="character" w:customStyle="1" w:styleId="HlavikaChar">
    <w:name w:val="Hlavička Char"/>
    <w:basedOn w:val="Predvolenpsmoodseku"/>
    <w:link w:val="Hlavika"/>
    <w:uiPriority w:val="99"/>
    <w:rsid w:val="006341F7"/>
    <w:rPr>
      <w:rFonts w:cs="Mangal"/>
      <w:szCs w:val="21"/>
    </w:rPr>
  </w:style>
  <w:style w:type="character" w:customStyle="1" w:styleId="PtaChar">
    <w:name w:val="Päta Char"/>
    <w:basedOn w:val="Predvolenpsmoodseku"/>
    <w:link w:val="Pta"/>
    <w:uiPriority w:val="99"/>
    <w:rsid w:val="005378DA"/>
  </w:style>
  <w:style w:type="paragraph" w:styleId="Odsekzoznamu">
    <w:name w:val="List Paragraph"/>
    <w:basedOn w:val="Normlny"/>
    <w:uiPriority w:val="34"/>
    <w:qFormat/>
    <w:rsid w:val="00AB7A48"/>
    <w:pPr>
      <w:ind w:left="720"/>
      <w:contextualSpacing/>
    </w:pPr>
    <w:rPr>
      <w:rFonts w:cs="Mangal"/>
      <w:szCs w:val="21"/>
    </w:rPr>
  </w:style>
  <w:style w:type="table" w:styleId="Mriekatabuky">
    <w:name w:val="Table Grid"/>
    <w:basedOn w:val="Normlnatabuka"/>
    <w:uiPriority w:val="39"/>
    <w:rsid w:val="00C61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basedOn w:val="Predvolenpsmoodseku"/>
    <w:link w:val="Zkladntext1"/>
    <w:rsid w:val="00592FD9"/>
    <w:rPr>
      <w:rFonts w:ascii="Times New Roman" w:eastAsia="Times New Roman" w:hAnsi="Times New Roman" w:cs="Times New Roman"/>
      <w:sz w:val="20"/>
      <w:szCs w:val="20"/>
    </w:rPr>
  </w:style>
  <w:style w:type="paragraph" w:customStyle="1" w:styleId="Zkladntext1">
    <w:name w:val="Základný text1"/>
    <w:basedOn w:val="Normlny"/>
    <w:link w:val="Zkladntext0"/>
    <w:rsid w:val="00592FD9"/>
    <w:pPr>
      <w:widowControl w:val="0"/>
      <w:suppressAutoHyphens w:val="0"/>
      <w:spacing w:after="240" w:line="276" w:lineRule="auto"/>
    </w:pPr>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816A35"/>
    <w:rPr>
      <w:rFonts w:cs="Mangal"/>
      <w:sz w:val="20"/>
      <w:szCs w:val="18"/>
    </w:rPr>
  </w:style>
  <w:style w:type="character" w:customStyle="1" w:styleId="TextpoznmkypodiarouChar">
    <w:name w:val="Text poznámky pod čiarou Char"/>
    <w:basedOn w:val="Predvolenpsmoodseku"/>
    <w:link w:val="Textpoznmkypodiarou"/>
    <w:uiPriority w:val="99"/>
    <w:semiHidden/>
    <w:rsid w:val="00816A35"/>
    <w:rPr>
      <w:rFonts w:cs="Mangal"/>
      <w:sz w:val="20"/>
      <w:szCs w:val="18"/>
    </w:rPr>
  </w:style>
  <w:style w:type="character" w:styleId="Odkaznapoznmkupodiarou">
    <w:name w:val="footnote reference"/>
    <w:basedOn w:val="Predvolenpsmoodseku"/>
    <w:uiPriority w:val="99"/>
    <w:semiHidden/>
    <w:unhideWhenUsed/>
    <w:rsid w:val="00816A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4487</Words>
  <Characters>25579</Characters>
  <Application>Microsoft Office Word</Application>
  <DocSecurity>0</DocSecurity>
  <Lines>213</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2024-10-11T11:16:00Z</dcterms:created>
  <dcterms:modified xsi:type="dcterms:W3CDTF">2024-10-24T07:59:00Z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