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F61A" w14:textId="12B9D4BA" w:rsidR="007C1487" w:rsidRPr="00937893" w:rsidRDefault="007C1487" w:rsidP="007C1487">
      <w:pPr>
        <w:pStyle w:val="Nadpis1"/>
        <w:ind w:left="705" w:right="74"/>
        <w:jc w:val="right"/>
        <w:rPr>
          <w:sz w:val="24"/>
          <w:szCs w:val="24"/>
        </w:rPr>
      </w:pPr>
      <w:bookmarkStart w:id="0" w:name="_Toc181959191"/>
      <w:r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6</w:t>
      </w:r>
      <w:r w:rsidRPr="00937893">
        <w:rPr>
          <w:sz w:val="24"/>
          <w:szCs w:val="24"/>
        </w:rPr>
        <w:t xml:space="preserve"> </w:t>
      </w:r>
      <w:r>
        <w:rPr>
          <w:sz w:val="24"/>
          <w:szCs w:val="24"/>
        </w:rPr>
        <w:t>k SP</w:t>
      </w:r>
      <w:bookmarkEnd w:id="0"/>
    </w:p>
    <w:p w14:paraId="165E3736" w14:textId="77777777" w:rsidR="007C1487" w:rsidRPr="008A1FCE" w:rsidRDefault="007C1487" w:rsidP="007C1487">
      <w:pPr>
        <w:pStyle w:val="Nadpis1"/>
        <w:ind w:left="705" w:right="74"/>
        <w:jc w:val="center"/>
        <w:rPr>
          <w:sz w:val="24"/>
          <w:szCs w:val="24"/>
        </w:rPr>
      </w:pPr>
      <w:bookmarkStart w:id="1" w:name="_Toc181959192"/>
      <w:r w:rsidRPr="002E46BA">
        <w:rPr>
          <w:sz w:val="24"/>
          <w:szCs w:val="24"/>
        </w:rPr>
        <w:t>ČESTNÉ VYHLÁSENIE UCHÁDZAČA</w:t>
      </w:r>
      <w:bookmarkEnd w:id="1"/>
    </w:p>
    <w:p w14:paraId="3778DE72" w14:textId="77777777" w:rsidR="007C1487" w:rsidRDefault="007C1487" w:rsidP="007C1487">
      <w:pPr>
        <w:rPr>
          <w:b/>
          <w:bCs/>
        </w:rPr>
      </w:pPr>
    </w:p>
    <w:p w14:paraId="32FA8E5C" w14:textId="77777777" w:rsidR="007C1487" w:rsidRPr="00CE1113" w:rsidRDefault="007C1487" w:rsidP="007C1487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51343C2F" w14:textId="77777777" w:rsidR="007C1487" w:rsidRPr="00CE1113" w:rsidRDefault="007C1487" w:rsidP="007C1487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</w:p>
    <w:p w14:paraId="5BF5ABF7" w14:textId="77777777" w:rsidR="007C1487" w:rsidRPr="00CE1113" w:rsidRDefault="007C1487" w:rsidP="007C1487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</w:p>
    <w:p w14:paraId="7AD31B36" w14:textId="77777777" w:rsidR="007C1487" w:rsidRPr="00CE1113" w:rsidRDefault="007C1487" w:rsidP="007C1487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</w:p>
    <w:p w14:paraId="0FC7E9D2" w14:textId="77777777" w:rsidR="007C1487" w:rsidRPr="00CE1113" w:rsidRDefault="007C1487" w:rsidP="007C1487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</w:p>
    <w:p w14:paraId="0361D2DE" w14:textId="77777777" w:rsidR="007C1487" w:rsidRDefault="007C1487" w:rsidP="007C1487">
      <w:pPr>
        <w:widowControl/>
        <w:autoSpaceDE/>
        <w:autoSpaceDN/>
        <w:spacing w:after="120" w:line="276" w:lineRule="auto"/>
        <w:jc w:val="both"/>
        <w:rPr>
          <w:lang w:eastAsia="sk-SK"/>
        </w:rPr>
      </w:pPr>
    </w:p>
    <w:p w14:paraId="5AE33D41" w14:textId="77777777" w:rsidR="007C1487" w:rsidRDefault="007C1487" w:rsidP="007C1487">
      <w:pPr>
        <w:widowControl/>
        <w:autoSpaceDE/>
        <w:autoSpaceDN/>
        <w:spacing w:after="120" w:line="276" w:lineRule="auto"/>
        <w:jc w:val="both"/>
        <w:rPr>
          <w:lang w:eastAsia="sk-SK"/>
        </w:rPr>
      </w:pPr>
      <w:r w:rsidRPr="002E46BA">
        <w:rPr>
          <w:lang w:eastAsia="sk-SK"/>
        </w:rPr>
        <w:t xml:space="preserve">Dolu podpísaný zástupca uchádzača týmto čestne vyhlasujem, že </w:t>
      </w:r>
    </w:p>
    <w:p w14:paraId="5AB1BFB4" w14:textId="10A64445" w:rsidR="007C1487" w:rsidRPr="00735B96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 xml:space="preserve">súhlasí s podmienkami verejného obstarávania </w:t>
      </w:r>
      <w:r w:rsidRPr="00CE1113">
        <w:rPr>
          <w:b/>
          <w:bCs/>
          <w:lang w:eastAsia="sk-SK"/>
        </w:rPr>
        <w:t>„</w:t>
      </w:r>
      <w:r w:rsidR="00314046" w:rsidRPr="00314046">
        <w:rPr>
          <w:b/>
          <w:bCs/>
          <w:sz w:val="20"/>
          <w:szCs w:val="20"/>
        </w:rPr>
        <w:t xml:space="preserve">Podporné a rozvojové služby k ERP informačnému systému programu </w:t>
      </w:r>
      <w:proofErr w:type="spellStart"/>
      <w:r w:rsidR="00314046" w:rsidRPr="00314046">
        <w:rPr>
          <w:b/>
          <w:bCs/>
          <w:sz w:val="20"/>
          <w:szCs w:val="20"/>
        </w:rPr>
        <w:t>Softip</w:t>
      </w:r>
      <w:proofErr w:type="spellEnd"/>
      <w:r w:rsidR="00314046" w:rsidRPr="00314046">
        <w:rPr>
          <w:b/>
          <w:bCs/>
          <w:sz w:val="20"/>
          <w:szCs w:val="20"/>
        </w:rPr>
        <w:t xml:space="preserve"> Profit Plus</w:t>
      </w:r>
      <w:r w:rsidRPr="00515FD4"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t xml:space="preserve"> </w:t>
      </w:r>
      <w:r w:rsidRPr="00735B96">
        <w:rPr>
          <w:lang w:eastAsia="sk-SK"/>
        </w:rPr>
        <w:t xml:space="preserve">, ktoré sú určené v súťažných podkladoch a v iných dokumentoch poskytnutých </w:t>
      </w:r>
      <w:r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>
        <w:rPr>
          <w:lang w:eastAsia="sk-SK"/>
        </w:rPr>
        <w:t>.</w:t>
      </w:r>
    </w:p>
    <w:p w14:paraId="7014351A" w14:textId="77777777" w:rsidR="007C1487" w:rsidRPr="00735B96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je  dôkladne oboznámen</w:t>
      </w:r>
      <w:r>
        <w:rPr>
          <w:lang w:eastAsia="sk-SK"/>
        </w:rPr>
        <w:t>ý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5246290B" w14:textId="77777777" w:rsidR="007C1487" w:rsidRPr="00735B96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68A17BE9" w14:textId="77777777" w:rsidR="007C1487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161B8F96" w14:textId="77777777" w:rsidR="007C1487" w:rsidRPr="002E46BA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i/>
          <w:iCs/>
          <w:lang w:eastAsia="sk-SK"/>
        </w:rPr>
      </w:pPr>
      <w:r w:rsidRPr="002E46BA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2E46BA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2E46BA">
        <w:rPr>
          <w:i/>
          <w:iCs/>
          <w:lang w:eastAsia="sk-SK"/>
        </w:rPr>
        <w:t>(skutočnosti vo vzťahu k osobám uvedeným na sankčných zoznamoch podľa príslušných nariadení)</w:t>
      </w:r>
    </w:p>
    <w:p w14:paraId="3A601D39" w14:textId="77777777" w:rsidR="007C1487" w:rsidRPr="002E46BA" w:rsidRDefault="007C1487" w:rsidP="007C1487">
      <w:pPr>
        <w:widowControl/>
        <w:numPr>
          <w:ilvl w:val="0"/>
          <w:numId w:val="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144DE23C" w14:textId="77777777" w:rsidR="007C1487" w:rsidRPr="002E46BA" w:rsidRDefault="007C1487" w:rsidP="007C1487">
      <w:pPr>
        <w:widowControl/>
        <w:numPr>
          <w:ilvl w:val="0"/>
          <w:numId w:val="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nevlastní viac ako 50 % priamo alebo nepriamo subjekt uvedený v bode 1, </w:t>
      </w:r>
    </w:p>
    <w:p w14:paraId="0AECD910" w14:textId="77777777" w:rsidR="007C1487" w:rsidRPr="002E46BA" w:rsidRDefault="007C1487" w:rsidP="007C1487">
      <w:pPr>
        <w:widowControl/>
        <w:numPr>
          <w:ilvl w:val="0"/>
          <w:numId w:val="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3B4FF64E" w14:textId="77777777" w:rsidR="007C1487" w:rsidRPr="002E46BA" w:rsidRDefault="007C1487" w:rsidP="007C1487">
      <w:pPr>
        <w:widowControl/>
        <w:numPr>
          <w:ilvl w:val="0"/>
          <w:numId w:val="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5A8F0B8" w14:textId="77777777" w:rsidR="007C1487" w:rsidRPr="002E46BA" w:rsidRDefault="007C1487" w:rsidP="007C1487">
      <w:pPr>
        <w:widowControl/>
        <w:numPr>
          <w:ilvl w:val="0"/>
          <w:numId w:val="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D278947" w14:textId="77777777" w:rsidR="007C1487" w:rsidRDefault="007C1487" w:rsidP="007C1487">
      <w:pPr>
        <w:widowControl/>
        <w:numPr>
          <w:ilvl w:val="0"/>
          <w:numId w:val="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 správne.</w:t>
      </w:r>
    </w:p>
    <w:p w14:paraId="30CA38BE" w14:textId="77777777" w:rsidR="007C1487" w:rsidRPr="006832B3" w:rsidRDefault="007C1487" w:rsidP="007C1487">
      <w:pPr>
        <w:widowControl/>
        <w:numPr>
          <w:ilvl w:val="0"/>
          <w:numId w:val="1"/>
        </w:numPr>
        <w:tabs>
          <w:tab w:val="left" w:pos="10800"/>
          <w:tab w:val="left" w:pos="11340"/>
        </w:tabs>
        <w:autoSpaceDE/>
        <w:autoSpaceDN/>
        <w:spacing w:before="240" w:after="240"/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</w:p>
    <w:p w14:paraId="58EFA398" w14:textId="77777777" w:rsidR="007C1487" w:rsidRPr="006832B3" w:rsidRDefault="007C1487" w:rsidP="007C1487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7C63DE80" w14:textId="77777777" w:rsidR="007C1487" w:rsidRPr="006832B3" w:rsidRDefault="007C1487" w:rsidP="007C1487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budú podieľať nasledovní subdodávatelia:</w:t>
      </w:r>
    </w:p>
    <w:p w14:paraId="1E5BBE00" w14:textId="77777777" w:rsidR="007C1487" w:rsidRPr="002E46BA" w:rsidRDefault="007C1487" w:rsidP="007C1487">
      <w:pPr>
        <w:widowControl/>
        <w:tabs>
          <w:tab w:val="left" w:pos="10800"/>
          <w:tab w:val="left" w:pos="11340"/>
        </w:tabs>
        <w:autoSpaceDE/>
        <w:autoSpaceDN/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688"/>
        <w:gridCol w:w="1183"/>
        <w:gridCol w:w="1354"/>
        <w:gridCol w:w="3450"/>
      </w:tblGrid>
      <w:tr w:rsidR="007C1487" w:rsidRPr="00072B22" w14:paraId="03919F07" w14:textId="77777777" w:rsidTr="00D911C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4D640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P. č.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C1D55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E15AE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278D8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% podiel na zákazke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2DEFE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Predmet subdodávok</w:t>
            </w:r>
          </w:p>
        </w:tc>
      </w:tr>
      <w:tr w:rsidR="007C1487" w:rsidRPr="002E46BA" w14:paraId="03208FA2" w14:textId="77777777" w:rsidTr="00D911CA"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80A0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1.</w:t>
            </w: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CA0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04D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C36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95CF9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  <w:tr w:rsidR="007C1487" w:rsidRPr="002E46BA" w14:paraId="43E8D62C" w14:textId="77777777" w:rsidTr="00D911C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DECB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DA48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00B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F34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2A320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  <w:tr w:rsidR="007C1487" w:rsidRPr="002E46BA" w14:paraId="7BB532E4" w14:textId="77777777" w:rsidTr="00D911C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6D1DC4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1BC27E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130E4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D81DC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2B7F09" w14:textId="77777777" w:rsidR="007C1487" w:rsidRPr="002E46BA" w:rsidRDefault="007C1487" w:rsidP="00D911C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</w:tbl>
    <w:p w14:paraId="716E3EA0" w14:textId="77777777" w:rsidR="007C1487" w:rsidRPr="002E46BA" w:rsidRDefault="007C1487" w:rsidP="007C1487">
      <w:pPr>
        <w:autoSpaceDE/>
        <w:autoSpaceDN/>
        <w:spacing w:before="120" w:after="120"/>
        <w:jc w:val="both"/>
        <w:rPr>
          <w:i/>
          <w:lang w:eastAsia="sk-SK"/>
        </w:rPr>
      </w:pPr>
    </w:p>
    <w:p w14:paraId="2D656C3F" w14:textId="77777777" w:rsidR="007C1487" w:rsidRPr="002E46BA" w:rsidRDefault="007C1487" w:rsidP="007C1487">
      <w:pPr>
        <w:widowControl/>
        <w:numPr>
          <w:ilvl w:val="0"/>
          <w:numId w:val="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>pri navrhovaných subdodávateľoch sme overili  neexistenciu skutočností podľa článku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 (vo väzbe na písm. B) bod 4 tohto čestného vyhlásenia).</w:t>
      </w:r>
    </w:p>
    <w:p w14:paraId="26F68AEC" w14:textId="77777777" w:rsidR="007C1487" w:rsidRPr="002E46BA" w:rsidRDefault="007C1487" w:rsidP="007C148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B3C5800" w14:textId="77777777" w:rsidR="007C1487" w:rsidRPr="002E46BA" w:rsidRDefault="007C1487" w:rsidP="007C1487">
      <w:pPr>
        <w:widowControl/>
        <w:numPr>
          <w:ilvl w:val="0"/>
          <w:numId w:val="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>neexistujú skutočnosti brániace podpisu</w:t>
      </w:r>
      <w:r>
        <w:rPr>
          <w:lang w:eastAsia="sk-SK"/>
        </w:rPr>
        <w:t xml:space="preserve"> Rámcovej </w:t>
      </w:r>
      <w:r w:rsidRPr="002E46BA">
        <w:rPr>
          <w:lang w:eastAsia="sk-SK"/>
        </w:rPr>
        <w:t>zmluvy o dielo podľa § 11 ods. 1písm. b) a c) zákona o verejnom obstarávaní.</w:t>
      </w:r>
    </w:p>
    <w:p w14:paraId="3508D0CB" w14:textId="77777777" w:rsidR="007C1487" w:rsidRPr="002E46BA" w:rsidRDefault="007C1487" w:rsidP="007C1487">
      <w:pPr>
        <w:widowControl/>
        <w:autoSpaceDE/>
        <w:autoSpaceDN/>
        <w:spacing w:after="120"/>
        <w:ind w:left="720"/>
        <w:contextualSpacing/>
        <w:rPr>
          <w:lang w:eastAsia="sk-SK"/>
        </w:rPr>
      </w:pPr>
    </w:p>
    <w:p w14:paraId="2E3EB897" w14:textId="77777777" w:rsidR="007C1487" w:rsidRDefault="007C1487" w:rsidP="007C1487">
      <w:pPr>
        <w:widowControl/>
        <w:numPr>
          <w:ilvl w:val="0"/>
          <w:numId w:val="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77D13D8" w14:textId="77777777" w:rsidR="001A1261" w:rsidRDefault="001A1261" w:rsidP="001A1261">
      <w:pPr>
        <w:pStyle w:val="Odsekzoznamu"/>
        <w:rPr>
          <w:lang w:eastAsia="sk-SK"/>
        </w:rPr>
      </w:pPr>
    </w:p>
    <w:p w14:paraId="17162458" w14:textId="77777777" w:rsidR="001A1261" w:rsidRDefault="001A1261" w:rsidP="001A1261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373C3F37" w14:textId="77777777" w:rsidR="007C1487" w:rsidRDefault="007C1487" w:rsidP="007C1487">
      <w:pPr>
        <w:pStyle w:val="Odsekzoznamu"/>
        <w:rPr>
          <w:lang w:eastAsia="sk-SK"/>
        </w:rPr>
      </w:pPr>
    </w:p>
    <w:p w14:paraId="1D51E9F7" w14:textId="77777777" w:rsidR="007C1487" w:rsidRPr="008F3C03" w:rsidRDefault="007C1487" w:rsidP="007C1487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A89590F" w14:textId="77777777" w:rsidR="007C1487" w:rsidRPr="008F3C03" w:rsidRDefault="007C1487" w:rsidP="007C1487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322A745C" w14:textId="77777777" w:rsidR="007C1487" w:rsidRPr="008F3C03" w:rsidRDefault="007C1487" w:rsidP="007C1487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1BEB415" w14:textId="77777777" w:rsidR="007C1487" w:rsidRPr="008F3C03" w:rsidRDefault="007C1487" w:rsidP="007C1487">
      <w:pPr>
        <w:jc w:val="center"/>
        <w:rPr>
          <w:i/>
        </w:rPr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2C0F481F" w14:textId="77777777" w:rsidR="007C1487" w:rsidRPr="00072B22" w:rsidRDefault="007C1487" w:rsidP="007C1487">
      <w:pPr>
        <w:rPr>
          <w:b/>
          <w:bCs/>
          <w:caps/>
          <w:color w:val="323E4F" w:themeColor="text2" w:themeShade="BF"/>
        </w:rPr>
      </w:pPr>
    </w:p>
    <w:p w14:paraId="614E9378" w14:textId="77777777" w:rsidR="007C1487" w:rsidRPr="008F3C03" w:rsidRDefault="007C1487" w:rsidP="007C1487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registri,, resp. živnostenskom registri</w:t>
      </w:r>
    </w:p>
    <w:p w14:paraId="1E7C4401" w14:textId="77777777" w:rsidR="007C1487" w:rsidRPr="00072B22" w:rsidRDefault="007C1487" w:rsidP="007C1487">
      <w:pPr>
        <w:rPr>
          <w:b/>
          <w:bCs/>
          <w:caps/>
          <w:color w:val="323E4F" w:themeColor="text2" w:themeShade="BF"/>
        </w:rPr>
      </w:pPr>
    </w:p>
    <w:p w14:paraId="528356AB" w14:textId="77777777" w:rsidR="00884789" w:rsidRDefault="00884789"/>
    <w:sectPr w:rsidR="0088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17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7B"/>
    <w:rsid w:val="001A1261"/>
    <w:rsid w:val="00314046"/>
    <w:rsid w:val="00341737"/>
    <w:rsid w:val="007C1487"/>
    <w:rsid w:val="00884789"/>
    <w:rsid w:val="00945A02"/>
    <w:rsid w:val="00A0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BE92"/>
  <w15:chartTrackingRefBased/>
  <w15:docId w15:val="{067A4CCF-96F6-403D-9841-51E1FAE1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1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1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1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1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1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1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1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1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1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1A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1A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1A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1A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1A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1A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1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1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1A7B"/>
    <w:rPr>
      <w:i/>
      <w:iCs/>
      <w:color w:val="404040" w:themeColor="text1" w:themeTint="BF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A01A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1A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1A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1A7B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7C14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48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C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7C1487"/>
  </w:style>
  <w:style w:type="paragraph" w:styleId="Zkladntext3">
    <w:name w:val="Body Text 3"/>
    <w:basedOn w:val="Normlny"/>
    <w:link w:val="Zkladntext3Char"/>
    <w:uiPriority w:val="99"/>
    <w:unhideWhenUsed/>
    <w:rsid w:val="007C148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C1487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4</cp:revision>
  <dcterms:created xsi:type="dcterms:W3CDTF">2024-11-08T10:58:00Z</dcterms:created>
  <dcterms:modified xsi:type="dcterms:W3CDTF">2024-11-08T10:59:00Z</dcterms:modified>
</cp:coreProperties>
</file>