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66E7A">
        <w:rPr>
          <w:rFonts w:cstheme="minorHAnsi"/>
        </w:rPr>
        <w:t>4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545FE4" w:rsidRDefault="00545FE4" w:rsidP="00545FE4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</w:p>
    <w:p w:rsidR="00545FE4" w:rsidRDefault="00545FE4" w:rsidP="00545FE4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545FE4" w:rsidRDefault="00545FE4" w:rsidP="00545FE4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AD06D1" w:rsidRDefault="00AD06D1" w:rsidP="00AD06D1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Československá obchodná banka a.s..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AD06D1" w:rsidRDefault="00AD06D1" w:rsidP="00AD06D1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SK35 7500 0000 0040 3450 8097</w:t>
      </w:r>
      <w:r>
        <w:rPr>
          <w:rFonts w:cstheme="minorHAnsi"/>
        </w:rPr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752485" w:rsidRPr="005B64EF" w:rsidRDefault="00752485" w:rsidP="0075248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752485" w:rsidRPr="00752485">
        <w:rPr>
          <w:rFonts w:cstheme="minorHAnsi"/>
          <w:b/>
        </w:rPr>
        <w:t xml:space="preserve">Nákup potravín pre </w:t>
      </w:r>
      <w:r w:rsidR="00752485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A271B0">
        <w:rPr>
          <w:rFonts w:cstheme="minorHAnsi"/>
          <w:b/>
        </w:rPr>
        <w:t>4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A271B0">
        <w:rPr>
          <w:rFonts w:cstheme="minorHAnsi"/>
          <w:b/>
        </w:rPr>
        <w:t>Chlieb a pekársky tovar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484D1C">
        <w:rPr>
          <w:rFonts w:cstheme="minorHAnsi"/>
        </w:rPr>
        <w:t xml:space="preserve"> uvedených 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D83AF9" w:rsidRDefault="00D83AF9" w:rsidP="00D83AF9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D83AF9" w:rsidRDefault="00D83AF9" w:rsidP="00D83AF9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D83AF9" w:rsidRDefault="00D83AF9" w:rsidP="00D83AF9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lastRenderedPageBreak/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3B2122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</w:t>
      </w:r>
      <w:r w:rsidR="00466724" w:rsidRPr="003B2122">
        <w:rPr>
          <w:rFonts w:cstheme="minorHAnsi"/>
        </w:rPr>
        <w:t xml:space="preserve">trhu v </w:t>
      </w:r>
      <w:r w:rsidR="00DC3357" w:rsidRPr="003B2122">
        <w:rPr>
          <w:rFonts w:cstheme="minorHAnsi"/>
        </w:rPr>
        <w:t>3</w:t>
      </w:r>
      <w:r w:rsidR="00CA1A38" w:rsidRPr="003B2122">
        <w:rPr>
          <w:rFonts w:cstheme="minorHAnsi"/>
        </w:rPr>
        <w:t>. mesačných</w:t>
      </w:r>
      <w:r w:rsidR="00466724" w:rsidRPr="003B2122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3B2122">
        <w:rPr>
          <w:rFonts w:cstheme="minorHAnsi"/>
        </w:rPr>
        <w:t>6</w:t>
      </w:r>
      <w:r w:rsidR="00466724" w:rsidRPr="003B2122">
        <w:rPr>
          <w:rFonts w:cstheme="minorHAnsi"/>
        </w:rPr>
        <w:t xml:space="preserve">.2 </w:t>
      </w:r>
      <w:r w:rsidR="001E1396" w:rsidRPr="003B2122">
        <w:rPr>
          <w:rFonts w:cstheme="minorHAnsi"/>
        </w:rPr>
        <w:t xml:space="preserve"> </w:t>
      </w:r>
      <w:r w:rsidR="003D4F59" w:rsidRPr="003B2122">
        <w:rPr>
          <w:rFonts w:cstheme="minorHAnsi"/>
        </w:rPr>
        <w:t>P</w:t>
      </w:r>
      <w:r w:rsidR="00466724" w:rsidRPr="003B2122">
        <w:rPr>
          <w:rFonts w:cstheme="minorHAnsi"/>
        </w:rPr>
        <w:t>rieskum trhu bude realizovan</w:t>
      </w:r>
      <w:r w:rsidR="003D4F59" w:rsidRPr="003B2122">
        <w:rPr>
          <w:rFonts w:cstheme="minorHAnsi"/>
        </w:rPr>
        <w:t>ý</w:t>
      </w:r>
      <w:r w:rsidR="00466724" w:rsidRPr="003B2122">
        <w:rPr>
          <w:rFonts w:cstheme="minorHAnsi"/>
        </w:rPr>
        <w:t xml:space="preserve"> minimálne prostredníctvom</w:t>
      </w:r>
      <w:r w:rsidR="00466724" w:rsidRPr="005B64EF">
        <w:rPr>
          <w:rFonts w:cstheme="minorHAnsi"/>
        </w:rPr>
        <w:t xml:space="preserve">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752485">
        <w:rPr>
          <w:rFonts w:cstheme="minorHAnsi"/>
        </w:rPr>
        <w:t>tovar</w:t>
      </w:r>
      <w:r w:rsidR="00036A9E" w:rsidRPr="00752485">
        <w:rPr>
          <w:rFonts w:cstheme="minorHAnsi"/>
        </w:rPr>
        <w:t xml:space="preserve"> </w:t>
      </w:r>
      <w:r w:rsidR="009742A9" w:rsidRPr="00752485">
        <w:rPr>
          <w:rFonts w:cstheme="minorHAnsi"/>
        </w:rPr>
        <w:t>4</w:t>
      </w:r>
      <w:r w:rsidR="00537430" w:rsidRPr="00752485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 xml:space="preserve">v zmysle platných právnych predpisov Slovenskej republiky (najmä zákon č. 222/2004 Z. z. o dani z pridanej hodnoty v </w:t>
      </w:r>
      <w:r w:rsidR="002800D0" w:rsidRPr="005B64EF">
        <w:rPr>
          <w:rFonts w:cstheme="minorHAnsi"/>
        </w:rPr>
        <w:lastRenderedPageBreak/>
        <w:t>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3B2122">
        <w:rPr>
          <w:rFonts w:cstheme="minorHAnsi"/>
        </w:rPr>
        <w:t>12</w:t>
      </w:r>
      <w:r w:rsidR="00946A34" w:rsidRPr="003B2122">
        <w:rPr>
          <w:rFonts w:cstheme="minorHAnsi"/>
        </w:rPr>
        <w:t xml:space="preserve"> mesiacov odo</w:t>
      </w:r>
      <w:r w:rsidR="00946A34" w:rsidRPr="005B64EF">
        <w:rPr>
          <w:rFonts w:cstheme="minorHAnsi"/>
        </w:rPr>
        <w:t xml:space="preserve">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52485" w:rsidRPr="00752485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B10A79" w:rsidRPr="00752485">
        <w:rPr>
          <w:rFonts w:cstheme="minorHAnsi"/>
        </w:rPr>
        <w:t>,</w:t>
      </w:r>
      <w:r w:rsidR="00851EF2" w:rsidRPr="00752485">
        <w:rPr>
          <w:rFonts w:cstheme="minorHAnsi"/>
        </w:rPr>
        <w:t xml:space="preserve"> </w:t>
      </w:r>
      <w:r w:rsidR="00A271B0" w:rsidRPr="00752485">
        <w:rPr>
          <w:rFonts w:ascii="Calibri" w:eastAsia="Times New Roman" w:hAnsi="Calibri" w:cs="Calibri"/>
          <w:bCs/>
          <w:shd w:val="clear" w:color="auto" w:fill="FFFFFF"/>
          <w:lang w:eastAsia="sk-SK"/>
        </w:rPr>
        <w:t>denne ( vrátane dní pracovného pokoja) okrem štátnych sviatkov </w:t>
      </w:r>
      <w:r w:rsidR="001C1B8B" w:rsidRPr="00752485">
        <w:rPr>
          <w:rFonts w:cstheme="minorHAnsi"/>
        </w:rPr>
        <w:t>, pričom t</w:t>
      </w:r>
      <w:r w:rsidR="002D503A" w:rsidRPr="00752485">
        <w:rPr>
          <w:rFonts w:cstheme="minorHAnsi"/>
        </w:rPr>
        <w:t>ovar musí byť dodaný</w:t>
      </w:r>
      <w:r w:rsidR="00D17B8E" w:rsidRPr="00752485">
        <w:rPr>
          <w:rFonts w:cstheme="minorHAnsi"/>
        </w:rPr>
        <w:t xml:space="preserve"> výlučne </w:t>
      </w:r>
      <w:r w:rsidR="00857FAE" w:rsidRPr="00752485">
        <w:rPr>
          <w:rFonts w:cstheme="minorHAnsi"/>
        </w:rPr>
        <w:t xml:space="preserve"> v čase </w:t>
      </w:r>
      <w:r w:rsidR="00752485">
        <w:rPr>
          <w:rFonts w:cstheme="minorHAnsi"/>
        </w:rPr>
        <w:t xml:space="preserve">od </w:t>
      </w:r>
      <w:r w:rsidR="003A0E40">
        <w:rPr>
          <w:rFonts w:cstheme="minorHAnsi"/>
        </w:rPr>
        <w:t>6</w:t>
      </w:r>
      <w:r w:rsidR="00752485">
        <w:rPr>
          <w:rFonts w:cstheme="minorHAnsi"/>
        </w:rPr>
        <w:t xml:space="preserve">:00 hod. </w:t>
      </w:r>
      <w:r w:rsidR="00857FAE" w:rsidRPr="00752485">
        <w:rPr>
          <w:rFonts w:cstheme="minorHAnsi"/>
        </w:rPr>
        <w:t xml:space="preserve">do </w:t>
      </w:r>
      <w:r w:rsidR="00A271B0" w:rsidRPr="00752485">
        <w:rPr>
          <w:rFonts w:cstheme="minorHAnsi"/>
        </w:rPr>
        <w:t>6</w:t>
      </w:r>
      <w:r w:rsidR="00F6597C" w:rsidRPr="00752485">
        <w:rPr>
          <w:rFonts w:cstheme="minorHAnsi"/>
        </w:rPr>
        <w:t>:</w:t>
      </w:r>
      <w:r w:rsidR="003A0E40">
        <w:rPr>
          <w:rFonts w:cstheme="minorHAnsi"/>
        </w:rPr>
        <w:t>3</w:t>
      </w:r>
      <w:r w:rsidR="00857FAE" w:rsidRPr="00752485">
        <w:rPr>
          <w:rFonts w:cstheme="minorHAnsi"/>
        </w:rPr>
        <w:t>0 hod.</w:t>
      </w:r>
      <w:r w:rsidR="002D503A" w:rsidRPr="00752485">
        <w:rPr>
          <w:rFonts w:cstheme="minorHAnsi"/>
        </w:rPr>
        <w:t>.</w:t>
      </w:r>
      <w:r w:rsidR="0029205E" w:rsidRPr="00A271B0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C13D1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752485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>Predávajúci je povinný dodať kupujúcemu čerstvý tovar</w:t>
      </w:r>
      <w:r w:rsidR="00A271B0">
        <w:rPr>
          <w:rFonts w:cstheme="minorHAnsi"/>
        </w:rPr>
        <w:t xml:space="preserve"> v hygienicky </w:t>
      </w:r>
      <w:proofErr w:type="spellStart"/>
      <w:r w:rsidR="00A271B0">
        <w:rPr>
          <w:rFonts w:cstheme="minorHAnsi"/>
        </w:rPr>
        <w:t>nezávadných</w:t>
      </w:r>
      <w:proofErr w:type="spellEnd"/>
      <w:r w:rsidR="00A271B0">
        <w:rPr>
          <w:rFonts w:cstheme="minorHAnsi"/>
        </w:rPr>
        <w:t xml:space="preserve"> prepravkách</w:t>
      </w:r>
      <w:r w:rsidR="00DC3357" w:rsidRPr="00AC3237">
        <w:rPr>
          <w:rFonts w:cstheme="minorHAnsi"/>
        </w:rPr>
        <w:t xml:space="preserve">. </w:t>
      </w:r>
      <w:r w:rsidR="00552E3B">
        <w:rPr>
          <w:rFonts w:cstheme="minorHAnsi"/>
        </w:rPr>
        <w:t>Pekárske</w:t>
      </w:r>
      <w:r w:rsidR="00D74880">
        <w:rPr>
          <w:rFonts w:cstheme="minorHAnsi"/>
        </w:rPr>
        <w:t xml:space="preserve">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52485" w:rsidRDefault="00DC3357" w:rsidP="00752485">
      <w:pPr>
        <w:spacing w:after="0" w:line="240" w:lineRule="auto"/>
        <w:ind w:left="993" w:hanging="426"/>
        <w:jc w:val="both"/>
        <w:rPr>
          <w:rFonts w:cstheme="minorHAnsi"/>
        </w:rPr>
      </w:pPr>
      <w:r w:rsidRPr="00752485">
        <w:t>8.</w:t>
      </w:r>
      <w:r w:rsidR="00752485" w:rsidRPr="00752485">
        <w:t>5</w:t>
      </w:r>
      <w:r w:rsidR="00752485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94297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942976">
        <w:rPr>
          <w:rFonts w:cstheme="minorHAnsi"/>
        </w:rPr>
        <w:t xml:space="preserve">Kontaktné údaje kupujúceho: Božena </w:t>
      </w:r>
      <w:proofErr w:type="spellStart"/>
      <w:r w:rsidR="00942976">
        <w:rPr>
          <w:rFonts w:cstheme="minorHAnsi"/>
        </w:rPr>
        <w:t>Kašparová</w:t>
      </w:r>
      <w:proofErr w:type="spellEnd"/>
      <w:r w:rsidR="00942976">
        <w:rPr>
          <w:rFonts w:cstheme="minorHAnsi"/>
        </w:rPr>
        <w:t xml:space="preserve">, tel. 0911 516 179, mail: </w:t>
      </w:r>
      <w:hyperlink r:id="rId9" w:history="1">
        <w:r w:rsidR="00942976">
          <w:rPr>
            <w:rStyle w:val="Hypertextovprepojenie"/>
            <w:rFonts w:cstheme="minorHAnsi"/>
          </w:rPr>
          <w:t>kasparova@mids.sk</w:t>
        </w:r>
      </w:hyperlink>
      <w:r w:rsidR="00942976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</w:t>
      </w:r>
      <w:r w:rsidRPr="005B64EF">
        <w:rPr>
          <w:rFonts w:cstheme="minorHAnsi"/>
          <w:bCs/>
        </w:rPr>
        <w:lastRenderedPageBreak/>
        <w:t>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Záručná doba a zodpovednosť za </w:t>
      </w:r>
      <w:proofErr w:type="spellStart"/>
      <w:r w:rsidRPr="005B64EF">
        <w:rPr>
          <w:rFonts w:cstheme="minorHAnsi"/>
          <w:b/>
        </w:rPr>
        <w:t>vady</w:t>
      </w:r>
      <w:proofErr w:type="spellEnd"/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Kupujúci si vyhradzuje právo neprevziať tovar so zjavnými </w:t>
      </w:r>
      <w:proofErr w:type="spellStart"/>
      <w:r w:rsidRPr="005B64EF">
        <w:rPr>
          <w:rFonts w:cstheme="minorHAnsi"/>
        </w:rPr>
        <w:t>vadami</w:t>
      </w:r>
      <w:proofErr w:type="spellEnd"/>
      <w:r w:rsidRPr="005B64EF">
        <w:rPr>
          <w:rFonts w:cstheme="minorHAnsi"/>
        </w:rPr>
        <w:t xml:space="preserve"> v takom množstve a rozsahu, na aké sa zjavná </w:t>
      </w:r>
      <w:proofErr w:type="spellStart"/>
      <w:r w:rsidRPr="005B64EF">
        <w:rPr>
          <w:rFonts w:cstheme="minorHAnsi"/>
        </w:rPr>
        <w:t>vada</w:t>
      </w:r>
      <w:proofErr w:type="spellEnd"/>
      <w:r w:rsidRPr="005B64EF">
        <w:rPr>
          <w:rFonts w:cstheme="minorHAnsi"/>
        </w:rPr>
        <w:t xml:space="preserve">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zjavné, kvalitatívne alebo </w:t>
      </w:r>
      <w:proofErr w:type="spellStart"/>
      <w:r w:rsidRPr="005B64EF">
        <w:rPr>
          <w:rFonts w:cstheme="minorHAnsi"/>
        </w:rPr>
        <w:t>množstevné</w:t>
      </w:r>
      <w:proofErr w:type="spellEnd"/>
      <w:r w:rsidRPr="005B64EF">
        <w:rPr>
          <w:rFonts w:cstheme="minorHAnsi"/>
        </w:rPr>
        <w:t>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 xml:space="preserve">Kupujúci je oprávnený v prípade zistenia akýchkoľvek </w:t>
      </w:r>
      <w:proofErr w:type="spellStart"/>
      <w:r w:rsidRPr="005B64EF">
        <w:rPr>
          <w:rFonts w:cstheme="minorHAnsi"/>
        </w:rPr>
        <w:t>vád</w:t>
      </w:r>
      <w:proofErr w:type="spellEnd"/>
      <w:r w:rsidRPr="005B64EF">
        <w:rPr>
          <w:rFonts w:cstheme="minorHAnsi"/>
        </w:rPr>
        <w:t xml:space="preserve">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predávajúceho zaplatenie zmluvnej pokuty vo výške 0,05 % z ceny tovaru, ktorý má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, a to za každý aj začatý deň omeškania s odstránením tejto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>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Default="00466724" w:rsidP="00C753A1">
      <w:pPr>
        <w:spacing w:after="0" w:line="240" w:lineRule="auto"/>
        <w:jc w:val="both"/>
        <w:rPr>
          <w:rFonts w:cstheme="minorHAnsi"/>
        </w:rPr>
      </w:pPr>
    </w:p>
    <w:p w:rsidR="0097446E" w:rsidRPr="005B64EF" w:rsidRDefault="0097446E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A86F24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 xml:space="preserve">neodstránenie </w:t>
      </w:r>
      <w:proofErr w:type="spellStart"/>
      <w:r w:rsidR="005D5BA4" w:rsidRPr="005B64EF">
        <w:rPr>
          <w:rFonts w:cstheme="minorHAnsi"/>
        </w:rPr>
        <w:t>vád</w:t>
      </w:r>
      <w:proofErr w:type="spellEnd"/>
      <w:r w:rsidR="005D5BA4" w:rsidRPr="005B64EF">
        <w:rPr>
          <w:rFonts w:cstheme="minorHAnsi"/>
        </w:rPr>
        <w:t xml:space="preserve">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752485">
        <w:rPr>
          <w:rFonts w:cstheme="minorHAnsi"/>
        </w:rPr>
        <w:t xml:space="preserve">viac ako </w:t>
      </w:r>
      <w:r w:rsidR="00AB22B9" w:rsidRPr="00752485">
        <w:rPr>
          <w:rFonts w:cstheme="minorHAnsi"/>
        </w:rPr>
        <w:t>45</w:t>
      </w:r>
      <w:r w:rsidR="00466724" w:rsidRPr="00752485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</w:t>
      </w:r>
      <w:proofErr w:type="spellStart"/>
      <w:r w:rsidR="00AE0A20" w:rsidRPr="005B64EF">
        <w:rPr>
          <w:rFonts w:cstheme="minorHAnsi"/>
          <w:bCs/>
          <w:iCs/>
        </w:rPr>
        <w:t>vysporiadanie</w:t>
      </w:r>
      <w:proofErr w:type="spellEnd"/>
      <w:r w:rsidR="00AE0A20" w:rsidRPr="005B64EF">
        <w:rPr>
          <w:rFonts w:cstheme="minorHAnsi"/>
          <w:bCs/>
          <w:iCs/>
        </w:rPr>
        <w:t xml:space="preserve">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F5BF4" w:rsidRDefault="008F5BF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F5BF4" w:rsidRPr="005B64EF" w:rsidRDefault="008F5BF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752485" w:rsidRDefault="00752485" w:rsidP="00EF7A15">
      <w:pPr>
        <w:spacing w:after="0" w:line="240" w:lineRule="auto"/>
        <w:jc w:val="center"/>
        <w:rPr>
          <w:rFonts w:cstheme="minorHAnsi"/>
          <w:b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71DC0" w:rsidRDefault="00D71DC0" w:rsidP="00D71DC0">
      <w:pPr>
        <w:suppressAutoHyphens/>
        <w:spacing w:after="0" w:line="276" w:lineRule="auto"/>
        <w:ind w:firstLine="567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5248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97446E" w:rsidRDefault="00466724" w:rsidP="0097446E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752485" w:rsidRPr="001A017E">
        <w:rPr>
          <w:rFonts w:ascii="Calibri" w:hAnsi="Calibri" w:cs="Arial"/>
        </w:rPr>
        <w:t xml:space="preserve">PhDr. </w:t>
      </w:r>
      <w:proofErr w:type="spellStart"/>
      <w:r w:rsidR="00752485" w:rsidRPr="001A017E">
        <w:rPr>
          <w:rFonts w:ascii="Calibri" w:hAnsi="Calibri" w:cs="Arial"/>
        </w:rPr>
        <w:t>Zlatuša</w:t>
      </w:r>
      <w:proofErr w:type="spellEnd"/>
      <w:r w:rsidR="00752485" w:rsidRPr="001A017E">
        <w:rPr>
          <w:rFonts w:ascii="Calibri" w:hAnsi="Calibri" w:cs="Arial"/>
        </w:rPr>
        <w:t xml:space="preserve"> </w:t>
      </w:r>
      <w:proofErr w:type="spellStart"/>
      <w:r w:rsidR="00752485" w:rsidRPr="001A017E">
        <w:rPr>
          <w:rFonts w:ascii="Calibri" w:hAnsi="Calibri" w:cs="Arial"/>
        </w:rPr>
        <w:t>Popaďáková</w:t>
      </w:r>
      <w:proofErr w:type="spellEnd"/>
      <w:r w:rsidR="0097446E">
        <w:rPr>
          <w:rFonts w:ascii="Calibri" w:hAnsi="Calibri" w:cs="Arial"/>
        </w:rPr>
        <w:t>, riaditeľka</w:t>
      </w:r>
    </w:p>
    <w:p w:rsidR="00D60BB6" w:rsidRPr="003A0E40" w:rsidRDefault="00D60BB6" w:rsidP="003A0E40">
      <w:pPr>
        <w:spacing w:before="120" w:after="120" w:line="240" w:lineRule="auto"/>
        <w:rPr>
          <w:rFonts w:cstheme="minorHAnsi"/>
          <w:color w:val="FF0000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71DC0" w:rsidRDefault="00D71DC0" w:rsidP="00D71DC0">
      <w:pPr>
        <w:suppressAutoHyphens/>
        <w:spacing w:after="0" w:line="276" w:lineRule="auto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D71DC0">
      <w:pPr>
        <w:spacing w:after="0" w:line="240" w:lineRule="auto"/>
        <w:rPr>
          <w:rFonts w:cstheme="minorHAnsi"/>
        </w:rPr>
      </w:pPr>
      <w:bookmarkStart w:id="3" w:name="_GoBack"/>
      <w:bookmarkEnd w:id="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4A7" w:rsidRDefault="00F434A7" w:rsidP="00CA3F33">
      <w:pPr>
        <w:spacing w:after="0" w:line="240" w:lineRule="auto"/>
      </w:pPr>
      <w:r>
        <w:separator/>
      </w:r>
    </w:p>
  </w:endnote>
  <w:endnote w:type="continuationSeparator" w:id="0">
    <w:p w:rsidR="00F434A7" w:rsidRDefault="00F434A7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50657"/>
      <w:docPartObj>
        <w:docPartGallery w:val="Page Numbers (Bottom of Page)"/>
        <w:docPartUnique/>
      </w:docPartObj>
    </w:sdtPr>
    <w:sdtContent>
      <w:p w:rsidR="00CA3F33" w:rsidRDefault="00E15200">
        <w:pPr>
          <w:pStyle w:val="Pta"/>
          <w:jc w:val="center"/>
        </w:pPr>
        <w:r>
          <w:fldChar w:fldCharType="begin"/>
        </w:r>
        <w:r w:rsidR="00F11B0A">
          <w:instrText xml:space="preserve"> PAGE   \* MERGEFORMAT </w:instrText>
        </w:r>
        <w:r>
          <w:fldChar w:fldCharType="separate"/>
        </w:r>
        <w:r w:rsidR="0097446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4A7" w:rsidRDefault="00F434A7" w:rsidP="00CA3F33">
      <w:pPr>
        <w:spacing w:after="0" w:line="240" w:lineRule="auto"/>
      </w:pPr>
      <w:r>
        <w:separator/>
      </w:r>
    </w:p>
  </w:footnote>
  <w:footnote w:type="continuationSeparator" w:id="0">
    <w:p w:rsidR="00F434A7" w:rsidRDefault="00F434A7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A7BC9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0E40"/>
    <w:rsid w:val="003A32D7"/>
    <w:rsid w:val="003B2122"/>
    <w:rsid w:val="003B2E21"/>
    <w:rsid w:val="003B40FB"/>
    <w:rsid w:val="003D2D3A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4D1C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0EAB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45FE4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35F02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52485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8F5BF4"/>
    <w:rsid w:val="0090047D"/>
    <w:rsid w:val="00902EF8"/>
    <w:rsid w:val="00915B55"/>
    <w:rsid w:val="0091639B"/>
    <w:rsid w:val="00925B89"/>
    <w:rsid w:val="00932436"/>
    <w:rsid w:val="00935E2A"/>
    <w:rsid w:val="00942709"/>
    <w:rsid w:val="00942976"/>
    <w:rsid w:val="00946A34"/>
    <w:rsid w:val="009476C9"/>
    <w:rsid w:val="00952F2B"/>
    <w:rsid w:val="00953216"/>
    <w:rsid w:val="009671C5"/>
    <w:rsid w:val="00967B26"/>
    <w:rsid w:val="00973CDA"/>
    <w:rsid w:val="009742A9"/>
    <w:rsid w:val="0097446E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86F24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D06D1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13D16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1DC0"/>
    <w:rsid w:val="00D74880"/>
    <w:rsid w:val="00D83AF9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15200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434A7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E7FD3-A423-49AF-956C-DAE69787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4405</Words>
  <Characters>25109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Používateľ systému Windows</cp:lastModifiedBy>
  <cp:revision>23</cp:revision>
  <cp:lastPrinted>2019-09-10T12:28:00Z</cp:lastPrinted>
  <dcterms:created xsi:type="dcterms:W3CDTF">2020-01-25T14:13:00Z</dcterms:created>
  <dcterms:modified xsi:type="dcterms:W3CDTF">2024-11-13T08:55:00Z</dcterms:modified>
</cp:coreProperties>
</file>