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1474AA34" w:rsidR="005E6EFA" w:rsidRPr="00D6771B" w:rsidRDefault="00D6771B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 xml:space="preserve">ASPARAGUS spol. s </w:t>
            </w:r>
            <w:proofErr w:type="spellStart"/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r.o</w:t>
            </w:r>
            <w:proofErr w:type="spellEnd"/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401FB354" w:rsidR="005E6EFA" w:rsidRPr="00D6771B" w:rsidRDefault="00D6771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31104703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D6771B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12B1A36" w:rsidR="005E6EFA" w:rsidRPr="00D6771B" w:rsidRDefault="00D6771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 xml:space="preserve">Technika do špeciálnej rastlinnej výroby - </w:t>
            </w:r>
            <w:r w:rsidR="00C41046">
              <w:rPr>
                <w:rFonts w:asciiTheme="minorHAnsi" w:hAnsiTheme="minorHAnsi" w:cstheme="minorHAnsi"/>
                <w:sz w:val="22"/>
                <w:lang w:eastAsia="sk-SK"/>
              </w:rPr>
              <w:t>stroje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1046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16</cp:revision>
  <dcterms:created xsi:type="dcterms:W3CDTF">2022-10-18T14:16:00Z</dcterms:created>
  <dcterms:modified xsi:type="dcterms:W3CDTF">2024-11-20T07:45:00Z</dcterms:modified>
</cp:coreProperties>
</file>