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037EEA6F"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E77701">
        <w:rPr>
          <w:rFonts w:ascii="Times New Roman" w:hAnsi="Times New Roman" w:cs="Times New Roman"/>
          <w:sz w:val="24"/>
          <w:szCs w:val="24"/>
        </w:rPr>
        <w:t xml:space="preserve"> § 83 zákona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392874E0"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5D02955E"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t>....................</w:t>
      </w:r>
    </w:p>
    <w:p w14:paraId="114FFEC8" w14:textId="5C3EC74D"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6F70BBC6"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52E07CDC"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0922ED5A"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11174E8D"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50C93F24" w:rsidR="008A7B33" w:rsidRDefault="008A7B33" w:rsidP="008A1F5B">
      <w:pPr>
        <w:tabs>
          <w:tab w:val="left" w:pos="993"/>
        </w:tabs>
        <w:ind w:firstLine="720"/>
        <w:jc w:val="both"/>
        <w:rPr>
          <w:bCs/>
          <w:sz w:val="24"/>
          <w:szCs w:val="24"/>
        </w:rPr>
      </w:pPr>
      <w:r>
        <w:rPr>
          <w:bCs/>
          <w:sz w:val="24"/>
          <w:szCs w:val="24"/>
        </w:rPr>
        <w:tab/>
      </w:r>
      <w:r>
        <w:rPr>
          <w:bCs/>
          <w:sz w:val="24"/>
          <w:szCs w:val="24"/>
        </w:rPr>
        <w:tab/>
        <w:t>telefón:</w:t>
      </w:r>
    </w:p>
    <w:p w14:paraId="4F0DD837" w14:textId="07B256AF"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74874364" w14:textId="77777777"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565B5040" w:rsidR="00127587" w:rsidRPr="004F7720" w:rsidRDefault="00127587" w:rsidP="00C07744">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3F4C15">
        <w:rPr>
          <w:rFonts w:ascii="Times New Roman" w:hAnsi="Times New Roman" w:cs="Times New Roman"/>
          <w:sz w:val="24"/>
          <w:szCs w:val="24"/>
        </w:rPr>
        <w:t xml:space="preserve">Táto </w:t>
      </w:r>
      <w:r>
        <w:rPr>
          <w:rFonts w:ascii="Times New Roman" w:hAnsi="Times New Roman" w:cs="Times New Roman"/>
          <w:sz w:val="24"/>
          <w:szCs w:val="24"/>
        </w:rPr>
        <w:t>R</w:t>
      </w:r>
      <w:r w:rsidRPr="003F4C15">
        <w:rPr>
          <w:rFonts w:ascii="Times New Roman" w:hAnsi="Times New Roman" w:cs="Times New Roman"/>
          <w:sz w:val="24"/>
          <w:szCs w:val="24"/>
        </w:rPr>
        <w:t xml:space="preserve">ámcová dohoda sa uzatvára na  základe </w:t>
      </w:r>
      <w:r w:rsidRPr="00AD669A">
        <w:rPr>
          <w:rFonts w:ascii="Times New Roman" w:hAnsi="Times New Roman" w:cs="Times New Roman"/>
          <w:sz w:val="24"/>
          <w:szCs w:val="24"/>
        </w:rPr>
        <w:t xml:space="preserve">výsledku uskutočneného postupu verejného obstarávania </w:t>
      </w:r>
      <w:r>
        <w:rPr>
          <w:rFonts w:ascii="Times New Roman" w:hAnsi="Times New Roman" w:cs="Times New Roman"/>
          <w:sz w:val="24"/>
          <w:szCs w:val="24"/>
        </w:rPr>
        <w:t xml:space="preserve">nadlimitnej zákazky podľa § 66 </w:t>
      </w:r>
      <w:r w:rsidRPr="00AD669A">
        <w:rPr>
          <w:rFonts w:ascii="Times New Roman" w:hAnsi="Times New Roman" w:cs="Times New Roman"/>
          <w:sz w:val="24"/>
          <w:szCs w:val="24"/>
        </w:rPr>
        <w:t xml:space="preserve"> zákona o verejnom obstarávaní </w:t>
      </w:r>
      <w:r w:rsidRPr="003F4C15">
        <w:rPr>
          <w:rFonts w:ascii="Times New Roman" w:hAnsi="Times New Roman" w:cs="Times New Roman"/>
          <w:sz w:val="24"/>
          <w:szCs w:val="24"/>
        </w:rPr>
        <w:t xml:space="preserve">pod názvom </w:t>
      </w:r>
      <w:r w:rsidRPr="003F4C15">
        <w:rPr>
          <w:rFonts w:ascii="Times New Roman" w:hAnsi="Times New Roman" w:cs="Times New Roman"/>
          <w:b/>
          <w:bCs/>
          <w:sz w:val="24"/>
          <w:szCs w:val="24"/>
        </w:rPr>
        <w:t>„</w:t>
      </w:r>
      <w:r w:rsidRPr="00C61C7A">
        <w:rPr>
          <w:rFonts w:ascii="Times New Roman" w:hAnsi="Times New Roman" w:cs="Times New Roman"/>
          <w:b/>
          <w:bCs/>
          <w:sz w:val="24"/>
          <w:szCs w:val="24"/>
        </w:rPr>
        <w:t>Potraviny pre školské jedálne pri MŠ</w:t>
      </w:r>
      <w:r w:rsidR="00AC513E">
        <w:rPr>
          <w:rFonts w:ascii="Times New Roman" w:hAnsi="Times New Roman" w:cs="Times New Roman"/>
          <w:b/>
          <w:bCs/>
          <w:sz w:val="24"/>
          <w:szCs w:val="24"/>
        </w:rPr>
        <w:t xml:space="preserve"> </w:t>
      </w:r>
      <w:r w:rsidR="009440BC">
        <w:rPr>
          <w:rFonts w:ascii="Times New Roman" w:hAnsi="Times New Roman" w:cs="Times New Roman"/>
          <w:b/>
          <w:bCs/>
          <w:sz w:val="24"/>
          <w:szCs w:val="24"/>
        </w:rPr>
        <w:t xml:space="preserve">- </w:t>
      </w:r>
      <w:r>
        <w:rPr>
          <w:rFonts w:ascii="Times New Roman" w:hAnsi="Times New Roman" w:cs="Times New Roman"/>
          <w:b/>
          <w:bCs/>
          <w:sz w:val="24"/>
          <w:szCs w:val="24"/>
        </w:rPr>
        <w:t>2025 – Časť</w:t>
      </w:r>
      <w:r w:rsidR="0062317F">
        <w:rPr>
          <w:rFonts w:ascii="Times New Roman" w:hAnsi="Times New Roman" w:cs="Times New Roman"/>
          <w:b/>
          <w:bCs/>
          <w:sz w:val="24"/>
          <w:szCs w:val="24"/>
        </w:rPr>
        <w:t xml:space="preserve"> 1 – </w:t>
      </w:r>
      <w:r w:rsidR="00C07744" w:rsidRPr="00C07744">
        <w:rPr>
          <w:rFonts w:ascii="Times New Roman" w:hAnsi="Times New Roman" w:cs="Times New Roman"/>
          <w:b/>
          <w:bCs/>
          <w:sz w:val="24"/>
          <w:szCs w:val="24"/>
        </w:rPr>
        <w:t>Základné potraviny, mrazené potraviny, vajcia, mlieko a mliečne výrobky</w:t>
      </w:r>
      <w:r>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AD66F1E" w14:textId="77777777" w:rsidR="00127587" w:rsidRDefault="00127587" w:rsidP="00DA6B00">
      <w:pPr>
        <w:pStyle w:val="Bezriadkovania"/>
        <w:jc w:val="center"/>
        <w:rPr>
          <w:b/>
          <w:sz w:val="24"/>
          <w:szCs w:val="24"/>
        </w:rPr>
      </w:pP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lastRenderedPageBreak/>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0A082CA8" w14:textId="77777777" w:rsidR="00C4379F" w:rsidRDefault="00C4379F" w:rsidP="008A1F5B">
      <w:pPr>
        <w:pStyle w:val="Bezriadkovania"/>
        <w:jc w:val="center"/>
        <w:rPr>
          <w:b/>
          <w:sz w:val="24"/>
          <w:szCs w:val="24"/>
        </w:rPr>
      </w:pPr>
    </w:p>
    <w:p w14:paraId="4E47C49A" w14:textId="2FB27561"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0D0A549F"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dodávať tovar </w:t>
      </w:r>
      <w:r>
        <w:rPr>
          <w:sz w:val="24"/>
          <w:szCs w:val="24"/>
        </w:rPr>
        <w:t>od</w:t>
      </w:r>
      <w:r w:rsidR="000055DB">
        <w:rPr>
          <w:sz w:val="24"/>
          <w:szCs w:val="24"/>
        </w:rPr>
        <w:t xml:space="preserve"> </w:t>
      </w:r>
      <w:r w:rsidR="000055DB" w:rsidRPr="009440BC">
        <w:rPr>
          <w:sz w:val="24"/>
          <w:szCs w:val="24"/>
          <w:u w:val="single"/>
        </w:rPr>
        <w:t>06</w:t>
      </w:r>
      <w:r w:rsidRPr="009440BC">
        <w:rPr>
          <w:sz w:val="24"/>
          <w:szCs w:val="24"/>
          <w:u w:val="single"/>
        </w:rPr>
        <w:t>:00 hod do 08:00 hod</w:t>
      </w:r>
      <w:r w:rsidRPr="005F24E1">
        <w:rPr>
          <w:sz w:val="24"/>
          <w:szCs w:val="24"/>
        </w:rPr>
        <w:t xml:space="preserve">. </w:t>
      </w:r>
      <w:r w:rsidRPr="003F4C15">
        <w:rPr>
          <w:sz w:val="24"/>
          <w:szCs w:val="24"/>
        </w:rPr>
        <w:t>daného dňa</w:t>
      </w:r>
      <w:r w:rsidR="008354A8">
        <w:rPr>
          <w:sz w:val="24"/>
          <w:szCs w:val="24"/>
        </w:rPr>
        <w:t xml:space="preserve"> </w:t>
      </w:r>
      <w:r w:rsidR="0045217A">
        <w:rPr>
          <w:sz w:val="24"/>
          <w:szCs w:val="24"/>
        </w:rPr>
        <w:t xml:space="preserve">(termín </w:t>
      </w:r>
      <w:r w:rsidR="008354A8">
        <w:rPr>
          <w:sz w:val="24"/>
          <w:szCs w:val="24"/>
        </w:rPr>
        <w:t>dodávky</w:t>
      </w:r>
      <w:r w:rsidR="0045217A">
        <w:rPr>
          <w:sz w:val="24"/>
          <w:szCs w:val="24"/>
        </w:rPr>
        <w:t>)</w:t>
      </w:r>
      <w:r w:rsidRPr="003F4C15">
        <w:rPr>
          <w:sz w:val="24"/>
          <w:szCs w:val="24"/>
        </w:rPr>
        <w:t>.</w:t>
      </w:r>
    </w:p>
    <w:p w14:paraId="440E95E4" w14:textId="39585876" w:rsidR="002F45B6" w:rsidRPr="002F45B6" w:rsidRDefault="002F45B6" w:rsidP="001376F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j. zabezpečenie kompletizácie tovaru, balenie tovaru, jeho doprava a vyloženie v mieste plnenia</w:t>
      </w:r>
      <w:r>
        <w:rPr>
          <w:sz w:val="24"/>
          <w:szCs w:val="24"/>
        </w:rPr>
        <w:t>.</w:t>
      </w:r>
    </w:p>
    <w:p w14:paraId="1B51B8E3" w14:textId="2A1C3CE1" w:rsidR="0070417B" w:rsidRPr="00E414D2"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lastRenderedPageBreak/>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7FBC433D" w14:textId="77777777" w:rsidR="00BA4629" w:rsidRDefault="00BA4629" w:rsidP="00E414D2">
      <w:pPr>
        <w:widowControl/>
        <w:suppressAutoHyphens/>
        <w:autoSpaceDE/>
        <w:autoSpaceDN/>
        <w:adjustRightInd/>
        <w:ind w:left="720"/>
        <w:jc w:val="both"/>
        <w:rPr>
          <w:sz w:val="24"/>
          <w:szCs w:val="24"/>
        </w:rPr>
      </w:pPr>
    </w:p>
    <w:p w14:paraId="43BDA92C" w14:textId="77777777" w:rsidR="007C74D3" w:rsidRPr="00E414D2" w:rsidRDefault="007C74D3" w:rsidP="00E414D2">
      <w:pPr>
        <w:widowControl/>
        <w:suppressAutoHyphens/>
        <w:autoSpaceDE/>
        <w:autoSpaceDN/>
        <w:adjustRightInd/>
        <w:ind w:left="720"/>
        <w:jc w:val="both"/>
        <w:rPr>
          <w:sz w:val="24"/>
          <w:szCs w:val="24"/>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73F2A9B"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1A9E2AC9" w14:textId="77777777" w:rsidR="00E414D2" w:rsidRPr="00E414D2" w:rsidRDefault="00E414D2" w:rsidP="00E414D2">
      <w:pPr>
        <w:pStyle w:val="Bezriadkovania"/>
        <w:ind w:left="284"/>
        <w:jc w:val="both"/>
        <w:rPr>
          <w:spacing w:val="-23"/>
          <w:sz w:val="24"/>
          <w:szCs w:val="24"/>
        </w:rPr>
      </w:pP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lastRenderedPageBreak/>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1C309004" w14:textId="77777777" w:rsidR="001144C0" w:rsidRPr="003F4C15" w:rsidRDefault="001144C0" w:rsidP="00E414D2">
      <w:pPr>
        <w:shd w:val="clear" w:color="auto" w:fill="FFFFFF"/>
        <w:tabs>
          <w:tab w:val="left" w:pos="3268"/>
        </w:tabs>
        <w:spacing w:before="5"/>
        <w:ind w:right="5"/>
        <w:rPr>
          <w:b/>
          <w:spacing w:val="-13"/>
          <w:sz w:val="24"/>
          <w:szCs w:val="24"/>
        </w:rPr>
      </w:pPr>
    </w:p>
    <w:p w14:paraId="11747636" w14:textId="68769AA2"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Z.z.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V ostatných prípadoch, neupravených touto zmluvou, sa budú zmluvné strany riadiť ustanoveniami § 422 a nasl.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lastRenderedPageBreak/>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19A04CAD" w14:textId="77777777" w:rsidR="00E414D2" w:rsidRPr="00E414D2" w:rsidRDefault="00E414D2"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lastRenderedPageBreak/>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6937FED2"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1563BC" w:rsidRPr="001563BC">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vadného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lastRenderedPageBreak/>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7BDD3D48" w14:textId="77777777" w:rsidR="005A7B29" w:rsidRDefault="005A7B29" w:rsidP="008A1F5B">
      <w:pPr>
        <w:shd w:val="clear" w:color="auto" w:fill="FFFFFF"/>
        <w:spacing w:before="24"/>
        <w:ind w:left="284" w:right="442" w:hanging="284"/>
        <w:jc w:val="both"/>
        <w:rPr>
          <w:sz w:val="24"/>
          <w:szCs w:val="24"/>
        </w:rPr>
      </w:pPr>
    </w:p>
    <w:p w14:paraId="57B75113" w14:textId="5168EC22" w:rsidR="002F6342" w:rsidRPr="003F4C15" w:rsidRDefault="00B72CC6" w:rsidP="008A1F5B">
      <w:pPr>
        <w:shd w:val="clear" w:color="auto" w:fill="FFFFFF"/>
        <w:tabs>
          <w:tab w:val="left" w:pos="3469"/>
        </w:tabs>
        <w:spacing w:before="24"/>
        <w:ind w:right="442"/>
        <w:jc w:val="center"/>
        <w:rPr>
          <w:b/>
          <w:sz w:val="24"/>
          <w:szCs w:val="24"/>
        </w:rPr>
      </w:pPr>
      <w:bookmarkStart w:id="0" w:name="_Hlk185428156"/>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C4E6A7" w14:textId="77777777" w:rsidR="00655BA0" w:rsidRDefault="00655BA0" w:rsidP="00D42D18">
      <w:pPr>
        <w:shd w:val="clear" w:color="auto" w:fill="FFFFFF"/>
        <w:tabs>
          <w:tab w:val="left" w:pos="284"/>
          <w:tab w:val="left" w:pos="8505"/>
        </w:tabs>
        <w:spacing w:before="24"/>
        <w:ind w:left="284" w:right="13"/>
        <w:jc w:val="both"/>
        <w:rPr>
          <w:strike/>
          <w:sz w:val="24"/>
          <w:szCs w:val="24"/>
          <w:highlight w:val="green"/>
        </w:rPr>
      </w:pPr>
    </w:p>
    <w:p w14:paraId="41FE10E7" w14:textId="77777777" w:rsidR="001376FE" w:rsidRPr="0047647D" w:rsidRDefault="001376FE" w:rsidP="00D42D18">
      <w:pPr>
        <w:shd w:val="clear" w:color="auto" w:fill="FFFFFF"/>
        <w:tabs>
          <w:tab w:val="left" w:pos="284"/>
          <w:tab w:val="left" w:pos="8505"/>
        </w:tabs>
        <w:spacing w:before="24"/>
        <w:ind w:left="284" w:right="13"/>
        <w:jc w:val="both"/>
        <w:rPr>
          <w:strike/>
          <w:sz w:val="24"/>
          <w:szCs w:val="24"/>
          <w:highlight w:val="green"/>
        </w:rPr>
      </w:pP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 xml:space="preserve">Práva a povinnosti zmluvných strán výslovne touto zmluvou neupravené sa riadia príslušnými ustanoveniami zákona č. 513/1991 Zb. Obchodného zákonníka, v znení </w:t>
      </w:r>
      <w:r w:rsidRPr="00E414D2">
        <w:rPr>
          <w:color w:val="000000"/>
          <w:sz w:val="24"/>
          <w:szCs w:val="24"/>
        </w:rPr>
        <w:lastRenderedPageBreak/>
        <w:t>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02697D3F" w:rsidR="00F50D4C" w:rsidRPr="00C711F7" w:rsidRDefault="00C82D64" w:rsidP="00DC7DE3">
      <w:pPr>
        <w:shd w:val="clear" w:color="auto" w:fill="FFFFFF"/>
        <w:spacing w:before="24"/>
        <w:ind w:left="284" w:right="13"/>
        <w:jc w:val="both"/>
        <w:rPr>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 xml:space="preserve">– Časť </w:t>
      </w:r>
      <w:r w:rsidR="00784C94">
        <w:rPr>
          <w:i/>
          <w:iCs/>
          <w:sz w:val="24"/>
          <w:szCs w:val="24"/>
        </w:rPr>
        <w:t xml:space="preserve">1- Základné potraviny </w:t>
      </w:r>
      <w:r w:rsidR="009C33E9">
        <w:rPr>
          <w:i/>
          <w:iCs/>
          <w:sz w:val="24"/>
          <w:szCs w:val="24"/>
        </w:rPr>
        <w:t xml:space="preserve"> </w:t>
      </w:r>
      <w:r w:rsidRPr="00C711F7">
        <w:rPr>
          <w:sz w:val="24"/>
          <w:szCs w:val="24"/>
        </w:rPr>
        <w:t xml:space="preserve">(podľa </w:t>
      </w:r>
      <w:r w:rsidR="00F50D4C" w:rsidRPr="00C711F7">
        <w:rPr>
          <w:sz w:val="24"/>
          <w:szCs w:val="24"/>
        </w:rPr>
        <w:t>ponuk</w:t>
      </w:r>
      <w:r w:rsidRPr="00C711F7">
        <w:rPr>
          <w:sz w:val="24"/>
          <w:szCs w:val="24"/>
        </w:rPr>
        <w:t>y</w:t>
      </w:r>
      <w:r w:rsidR="00F50D4C" w:rsidRPr="00C711F7">
        <w:rPr>
          <w:sz w:val="24"/>
          <w:szCs w:val="24"/>
        </w:rPr>
        <w:t xml:space="preserve"> uchádzača</w:t>
      </w:r>
      <w:r w:rsidRPr="00C711F7">
        <w:rPr>
          <w:sz w:val="24"/>
          <w:szCs w:val="24"/>
        </w:rPr>
        <w:t>)</w:t>
      </w:r>
      <w:r w:rsidR="00F50D4C" w:rsidRPr="00C711F7">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D668B4">
        <w:rPr>
          <w:i/>
          <w:iCs/>
          <w:sz w:val="24"/>
          <w:szCs w:val="24"/>
        </w:rPr>
        <w:t>P</w:t>
      </w:r>
      <w:r w:rsidR="00051112" w:rsidRPr="00D668B4">
        <w:rPr>
          <w:i/>
          <w:iCs/>
          <w:sz w:val="24"/>
          <w:szCs w:val="24"/>
        </w:rPr>
        <w:t xml:space="preserve">ríloha č. </w:t>
      </w:r>
      <w:r w:rsidR="00051112" w:rsidRPr="00CC7658">
        <w:rPr>
          <w:i/>
          <w:iCs/>
          <w:sz w:val="24"/>
          <w:szCs w:val="24"/>
        </w:rPr>
        <w:t xml:space="preserve">2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1376FE">
      <w:pPr>
        <w:pStyle w:val="Odsekzoznamu"/>
        <w:numPr>
          <w:ilvl w:val="0"/>
          <w:numId w:val="35"/>
        </w:numPr>
        <w:shd w:val="clear" w:color="auto" w:fill="FFFFFF"/>
        <w:spacing w:before="24" w:after="0"/>
        <w:ind w:left="426" w:right="13" w:hanging="426"/>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Pr="003F4C15" w:rsidRDefault="002F6342" w:rsidP="008A1F5B">
      <w:pPr>
        <w:shd w:val="clear" w:color="auto" w:fill="FFFFFF"/>
        <w:spacing w:before="24"/>
        <w:ind w:right="442"/>
        <w:jc w:val="both"/>
        <w:rPr>
          <w:sz w:val="24"/>
          <w:szCs w:val="24"/>
        </w:rPr>
      </w:pPr>
    </w:p>
    <w:p w14:paraId="1423BEDB" w14:textId="0B45399A"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4370E4">
        <w:rPr>
          <w:sz w:val="24"/>
          <w:szCs w:val="24"/>
        </w:rPr>
        <w:t xml:space="preserve"> </w:t>
      </w:r>
      <w:r w:rsidR="003D6053" w:rsidRPr="00BC6808">
        <w:rPr>
          <w:sz w:val="24"/>
          <w:szCs w:val="24"/>
        </w:rPr>
        <w:t>..........................</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r w:rsidR="004370E4">
        <w:rPr>
          <w:sz w:val="24"/>
          <w:szCs w:val="24"/>
        </w:rPr>
        <w:t>Mesto Košice</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4DB6B070" w:rsidR="00351C08" w:rsidRPr="003F4C15" w:rsidRDefault="00351C08" w:rsidP="008A1F5B">
      <w:pPr>
        <w:jc w:val="both"/>
        <w:rPr>
          <w:sz w:val="24"/>
          <w:szCs w:val="24"/>
        </w:rPr>
      </w:pPr>
      <w:r w:rsidRPr="003F4C15">
        <w:rPr>
          <w:sz w:val="24"/>
          <w:szCs w:val="24"/>
        </w:rPr>
        <w:t>V ...................... , dňa.......</w:t>
      </w:r>
      <w:r w:rsidR="007445FC" w:rsidRPr="003F4C15">
        <w:rPr>
          <w:sz w:val="24"/>
          <w:szCs w:val="24"/>
        </w:rPr>
        <w:t>.......</w:t>
      </w:r>
      <w:r w:rsidRPr="003F4C15">
        <w:rPr>
          <w:sz w:val="24"/>
          <w:szCs w:val="24"/>
        </w:rPr>
        <w:tab/>
        <w:t xml:space="preserve">                     </w:t>
      </w:r>
      <w:r w:rsidR="007445FC" w:rsidRPr="003F4C15">
        <w:rPr>
          <w:sz w:val="24"/>
          <w:szCs w:val="24"/>
        </w:rPr>
        <w:t xml:space="preserve">      </w:t>
      </w:r>
      <w:r w:rsidRPr="003F4C15">
        <w:rPr>
          <w:sz w:val="24"/>
          <w:szCs w:val="24"/>
        </w:rPr>
        <w:t>V .................... , dňa........</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00F9E48A"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76D3EE24" w:rsidR="001376FE" w:rsidRDefault="00AA2496" w:rsidP="00D42D18">
      <w:pPr>
        <w:jc w:val="both"/>
        <w:rPr>
          <w:sz w:val="24"/>
          <w:szCs w:val="24"/>
        </w:rPr>
      </w:pPr>
      <w:r>
        <w:rPr>
          <w:sz w:val="24"/>
          <w:szCs w:val="24"/>
        </w:rPr>
        <w:t>(</w:t>
      </w:r>
      <w:r w:rsidR="001563BC" w:rsidRPr="00784C94">
        <w:rPr>
          <w:i/>
          <w:iCs/>
          <w:sz w:val="24"/>
          <w:szCs w:val="24"/>
        </w:rPr>
        <w:t>Meno, priezvisko štatutárneho orgánu</w:t>
      </w:r>
      <w:r>
        <w:rPr>
          <w:sz w:val="24"/>
          <w:szCs w:val="24"/>
        </w:rPr>
        <w:t>)</w:t>
      </w:r>
      <w:r w:rsidR="009636B3">
        <w:rPr>
          <w:sz w:val="24"/>
          <w:szCs w:val="24"/>
        </w:rPr>
        <w:t xml:space="preserve">    </w:t>
      </w:r>
      <w:r w:rsidR="001563BC">
        <w:rPr>
          <w:sz w:val="24"/>
          <w:szCs w:val="24"/>
        </w:rPr>
        <w:tab/>
      </w:r>
      <w:r w:rsidR="001563BC">
        <w:rPr>
          <w:sz w:val="24"/>
          <w:szCs w:val="24"/>
        </w:rPr>
        <w:tab/>
      </w:r>
      <w:r w:rsidR="001563BC">
        <w:rPr>
          <w:sz w:val="24"/>
          <w:szCs w:val="24"/>
        </w:rPr>
        <w:tab/>
      </w:r>
      <w:r w:rsidR="001376FE">
        <w:rPr>
          <w:sz w:val="24"/>
          <w:szCs w:val="24"/>
        </w:rPr>
        <w:t xml:space="preserve">    </w:t>
      </w:r>
      <w:r w:rsidR="001B156D" w:rsidRPr="001563BC">
        <w:rPr>
          <w:sz w:val="24"/>
          <w:szCs w:val="24"/>
        </w:rPr>
        <w:t>Jaroslav Polaček</w:t>
      </w:r>
    </w:p>
    <w:p w14:paraId="77FF9748" w14:textId="246C424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DF7110">
      <w:footerReference w:type="default" r:id="rId8"/>
      <w:type w:val="continuous"/>
      <w:pgSz w:w="11909" w:h="16834"/>
      <w:pgMar w:top="993" w:right="2128" w:bottom="1135" w:left="126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930C6" w14:textId="77777777" w:rsidR="00FF1BC8" w:rsidRDefault="00FF1BC8" w:rsidP="007E4E3C">
      <w:r>
        <w:separator/>
      </w:r>
    </w:p>
  </w:endnote>
  <w:endnote w:type="continuationSeparator" w:id="0">
    <w:p w14:paraId="7A629D9C" w14:textId="77777777" w:rsidR="00FF1BC8" w:rsidRDefault="00FF1BC8"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F5A61" w14:textId="77777777" w:rsidR="00FF1BC8" w:rsidRDefault="00FF1BC8" w:rsidP="007E4E3C">
      <w:r>
        <w:separator/>
      </w:r>
    </w:p>
  </w:footnote>
  <w:footnote w:type="continuationSeparator" w:id="0">
    <w:p w14:paraId="718591F3" w14:textId="77777777" w:rsidR="00FF1BC8" w:rsidRDefault="00FF1BC8"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51112"/>
    <w:rsid w:val="00055D07"/>
    <w:rsid w:val="00061D37"/>
    <w:rsid w:val="00062C7D"/>
    <w:rsid w:val="00063868"/>
    <w:rsid w:val="00064120"/>
    <w:rsid w:val="0007010B"/>
    <w:rsid w:val="00072A13"/>
    <w:rsid w:val="00076296"/>
    <w:rsid w:val="00081E35"/>
    <w:rsid w:val="00082853"/>
    <w:rsid w:val="0008642E"/>
    <w:rsid w:val="0009535C"/>
    <w:rsid w:val="00095BC8"/>
    <w:rsid w:val="00097BD0"/>
    <w:rsid w:val="000A3911"/>
    <w:rsid w:val="000B1BCA"/>
    <w:rsid w:val="000C2E68"/>
    <w:rsid w:val="000C3884"/>
    <w:rsid w:val="000C3C80"/>
    <w:rsid w:val="000D089F"/>
    <w:rsid w:val="000E2A38"/>
    <w:rsid w:val="000E3ED7"/>
    <w:rsid w:val="000F18CD"/>
    <w:rsid w:val="000F2ABC"/>
    <w:rsid w:val="000F397D"/>
    <w:rsid w:val="000F4735"/>
    <w:rsid w:val="00101A36"/>
    <w:rsid w:val="00104CB7"/>
    <w:rsid w:val="0010755B"/>
    <w:rsid w:val="001144C0"/>
    <w:rsid w:val="00115046"/>
    <w:rsid w:val="00120E73"/>
    <w:rsid w:val="0012276F"/>
    <w:rsid w:val="00127587"/>
    <w:rsid w:val="0012758A"/>
    <w:rsid w:val="001275AA"/>
    <w:rsid w:val="00131559"/>
    <w:rsid w:val="00135FD9"/>
    <w:rsid w:val="001376FE"/>
    <w:rsid w:val="00140772"/>
    <w:rsid w:val="00140E21"/>
    <w:rsid w:val="00143B9C"/>
    <w:rsid w:val="00146493"/>
    <w:rsid w:val="00150244"/>
    <w:rsid w:val="001563BC"/>
    <w:rsid w:val="001615AF"/>
    <w:rsid w:val="0016302E"/>
    <w:rsid w:val="00164F17"/>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4630"/>
    <w:rsid w:val="001F484F"/>
    <w:rsid w:val="001F5D47"/>
    <w:rsid w:val="002011E9"/>
    <w:rsid w:val="00212DF6"/>
    <w:rsid w:val="00214C47"/>
    <w:rsid w:val="002210B5"/>
    <w:rsid w:val="002335F7"/>
    <w:rsid w:val="00233D13"/>
    <w:rsid w:val="00251BE9"/>
    <w:rsid w:val="0025382B"/>
    <w:rsid w:val="002566A2"/>
    <w:rsid w:val="00257068"/>
    <w:rsid w:val="00260657"/>
    <w:rsid w:val="0026381F"/>
    <w:rsid w:val="00263ED1"/>
    <w:rsid w:val="002653C3"/>
    <w:rsid w:val="002662FD"/>
    <w:rsid w:val="00272A84"/>
    <w:rsid w:val="002806F2"/>
    <w:rsid w:val="00285BCF"/>
    <w:rsid w:val="00286104"/>
    <w:rsid w:val="00286C38"/>
    <w:rsid w:val="002873F2"/>
    <w:rsid w:val="002926F9"/>
    <w:rsid w:val="00292E35"/>
    <w:rsid w:val="002934E0"/>
    <w:rsid w:val="002B25F6"/>
    <w:rsid w:val="002B26DA"/>
    <w:rsid w:val="002C1186"/>
    <w:rsid w:val="002C11A3"/>
    <w:rsid w:val="002D1C33"/>
    <w:rsid w:val="002D1FE6"/>
    <w:rsid w:val="002D3098"/>
    <w:rsid w:val="002D79B6"/>
    <w:rsid w:val="002E06A7"/>
    <w:rsid w:val="002E5514"/>
    <w:rsid w:val="002F45B6"/>
    <w:rsid w:val="002F6342"/>
    <w:rsid w:val="002F73AC"/>
    <w:rsid w:val="00300EA2"/>
    <w:rsid w:val="00301F2D"/>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60FE"/>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8E3"/>
    <w:rsid w:val="00413C02"/>
    <w:rsid w:val="00421A2F"/>
    <w:rsid w:val="00424260"/>
    <w:rsid w:val="00424EE3"/>
    <w:rsid w:val="0043182F"/>
    <w:rsid w:val="00431BE9"/>
    <w:rsid w:val="00434367"/>
    <w:rsid w:val="004370E4"/>
    <w:rsid w:val="00437270"/>
    <w:rsid w:val="00437676"/>
    <w:rsid w:val="00437A13"/>
    <w:rsid w:val="00441B26"/>
    <w:rsid w:val="00444226"/>
    <w:rsid w:val="0045217A"/>
    <w:rsid w:val="00452A4F"/>
    <w:rsid w:val="00455474"/>
    <w:rsid w:val="004652A7"/>
    <w:rsid w:val="00466052"/>
    <w:rsid w:val="0046686B"/>
    <w:rsid w:val="00467F11"/>
    <w:rsid w:val="00472A70"/>
    <w:rsid w:val="0047647D"/>
    <w:rsid w:val="00481973"/>
    <w:rsid w:val="00481B65"/>
    <w:rsid w:val="00490918"/>
    <w:rsid w:val="0049737F"/>
    <w:rsid w:val="004974EC"/>
    <w:rsid w:val="00497D52"/>
    <w:rsid w:val="004B01F9"/>
    <w:rsid w:val="004B138C"/>
    <w:rsid w:val="004B4621"/>
    <w:rsid w:val="004C2E6A"/>
    <w:rsid w:val="004C51E4"/>
    <w:rsid w:val="004C58EE"/>
    <w:rsid w:val="004D13DA"/>
    <w:rsid w:val="004D63C8"/>
    <w:rsid w:val="004D7191"/>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5127"/>
    <w:rsid w:val="005857AA"/>
    <w:rsid w:val="00586406"/>
    <w:rsid w:val="00587949"/>
    <w:rsid w:val="00590633"/>
    <w:rsid w:val="00592619"/>
    <w:rsid w:val="00596800"/>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4129"/>
    <w:rsid w:val="0064417E"/>
    <w:rsid w:val="00645941"/>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C469F"/>
    <w:rsid w:val="006C4B51"/>
    <w:rsid w:val="006D117F"/>
    <w:rsid w:val="006D1A2C"/>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1DA8"/>
    <w:rsid w:val="007648D8"/>
    <w:rsid w:val="00772FDE"/>
    <w:rsid w:val="007761F6"/>
    <w:rsid w:val="0078388D"/>
    <w:rsid w:val="00784C94"/>
    <w:rsid w:val="007926C9"/>
    <w:rsid w:val="00792800"/>
    <w:rsid w:val="00797315"/>
    <w:rsid w:val="0079770C"/>
    <w:rsid w:val="007A310D"/>
    <w:rsid w:val="007A3379"/>
    <w:rsid w:val="007A38A6"/>
    <w:rsid w:val="007A4BDD"/>
    <w:rsid w:val="007A60F6"/>
    <w:rsid w:val="007B3182"/>
    <w:rsid w:val="007C67D0"/>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3293"/>
    <w:rsid w:val="008935A6"/>
    <w:rsid w:val="00893757"/>
    <w:rsid w:val="008A0A26"/>
    <w:rsid w:val="008A1F5B"/>
    <w:rsid w:val="008A30C4"/>
    <w:rsid w:val="008A4850"/>
    <w:rsid w:val="008A7B33"/>
    <w:rsid w:val="008B0349"/>
    <w:rsid w:val="008B0834"/>
    <w:rsid w:val="008B2612"/>
    <w:rsid w:val="008B45E1"/>
    <w:rsid w:val="008B54B4"/>
    <w:rsid w:val="008B6CA5"/>
    <w:rsid w:val="008C28E4"/>
    <w:rsid w:val="008C31B9"/>
    <w:rsid w:val="008C5B64"/>
    <w:rsid w:val="008D1748"/>
    <w:rsid w:val="008D3B05"/>
    <w:rsid w:val="008D4634"/>
    <w:rsid w:val="008E04B2"/>
    <w:rsid w:val="008E34A2"/>
    <w:rsid w:val="008E49CD"/>
    <w:rsid w:val="008E5FB7"/>
    <w:rsid w:val="008E7F2A"/>
    <w:rsid w:val="008F0D68"/>
    <w:rsid w:val="008F203E"/>
    <w:rsid w:val="008F30B4"/>
    <w:rsid w:val="008F32D2"/>
    <w:rsid w:val="008F3AF1"/>
    <w:rsid w:val="008F6D4C"/>
    <w:rsid w:val="008F7B64"/>
    <w:rsid w:val="008F7B73"/>
    <w:rsid w:val="0090191E"/>
    <w:rsid w:val="009022DF"/>
    <w:rsid w:val="00905786"/>
    <w:rsid w:val="009124DE"/>
    <w:rsid w:val="009140C0"/>
    <w:rsid w:val="0091521F"/>
    <w:rsid w:val="00917153"/>
    <w:rsid w:val="00921E96"/>
    <w:rsid w:val="00925253"/>
    <w:rsid w:val="009276CC"/>
    <w:rsid w:val="00930C42"/>
    <w:rsid w:val="009312F5"/>
    <w:rsid w:val="0093171B"/>
    <w:rsid w:val="009322D5"/>
    <w:rsid w:val="00933106"/>
    <w:rsid w:val="009440BC"/>
    <w:rsid w:val="00946A0B"/>
    <w:rsid w:val="00955097"/>
    <w:rsid w:val="0095565E"/>
    <w:rsid w:val="009636B3"/>
    <w:rsid w:val="0096671D"/>
    <w:rsid w:val="0097165D"/>
    <w:rsid w:val="00976246"/>
    <w:rsid w:val="009809AE"/>
    <w:rsid w:val="009819CF"/>
    <w:rsid w:val="00982C1B"/>
    <w:rsid w:val="00985981"/>
    <w:rsid w:val="0098724A"/>
    <w:rsid w:val="00987661"/>
    <w:rsid w:val="00992476"/>
    <w:rsid w:val="00993C68"/>
    <w:rsid w:val="009A3CBA"/>
    <w:rsid w:val="009A5854"/>
    <w:rsid w:val="009A7323"/>
    <w:rsid w:val="009B0800"/>
    <w:rsid w:val="009B515F"/>
    <w:rsid w:val="009C33E9"/>
    <w:rsid w:val="009C49F0"/>
    <w:rsid w:val="009C4B17"/>
    <w:rsid w:val="009D1D28"/>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2B0C"/>
    <w:rsid w:val="00BA4629"/>
    <w:rsid w:val="00BA48C9"/>
    <w:rsid w:val="00BA4BE9"/>
    <w:rsid w:val="00BA5838"/>
    <w:rsid w:val="00BB0F02"/>
    <w:rsid w:val="00BB549E"/>
    <w:rsid w:val="00BB67B8"/>
    <w:rsid w:val="00BC3DE1"/>
    <w:rsid w:val="00BC6808"/>
    <w:rsid w:val="00BC7C26"/>
    <w:rsid w:val="00BD1118"/>
    <w:rsid w:val="00BD70A6"/>
    <w:rsid w:val="00BE2486"/>
    <w:rsid w:val="00BE3876"/>
    <w:rsid w:val="00BE7AC7"/>
    <w:rsid w:val="00BF4C9B"/>
    <w:rsid w:val="00C006F1"/>
    <w:rsid w:val="00C057A4"/>
    <w:rsid w:val="00C07744"/>
    <w:rsid w:val="00C113E2"/>
    <w:rsid w:val="00C174D6"/>
    <w:rsid w:val="00C2463E"/>
    <w:rsid w:val="00C3227B"/>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11F7"/>
    <w:rsid w:val="00C74DD3"/>
    <w:rsid w:val="00C77A7E"/>
    <w:rsid w:val="00C828E2"/>
    <w:rsid w:val="00C82B1F"/>
    <w:rsid w:val="00C82D64"/>
    <w:rsid w:val="00C91236"/>
    <w:rsid w:val="00C952D6"/>
    <w:rsid w:val="00CA4690"/>
    <w:rsid w:val="00CA6B19"/>
    <w:rsid w:val="00CB3308"/>
    <w:rsid w:val="00CB7604"/>
    <w:rsid w:val="00CC19DE"/>
    <w:rsid w:val="00CC22D4"/>
    <w:rsid w:val="00CC750E"/>
    <w:rsid w:val="00CC7658"/>
    <w:rsid w:val="00CD4D1A"/>
    <w:rsid w:val="00CD6D43"/>
    <w:rsid w:val="00CE135D"/>
    <w:rsid w:val="00CE1C4B"/>
    <w:rsid w:val="00CE36F0"/>
    <w:rsid w:val="00CE5156"/>
    <w:rsid w:val="00CF1DD6"/>
    <w:rsid w:val="00CF3810"/>
    <w:rsid w:val="00CF6955"/>
    <w:rsid w:val="00D01632"/>
    <w:rsid w:val="00D067A0"/>
    <w:rsid w:val="00D101B6"/>
    <w:rsid w:val="00D114E0"/>
    <w:rsid w:val="00D1478F"/>
    <w:rsid w:val="00D25840"/>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668B4"/>
    <w:rsid w:val="00D710D1"/>
    <w:rsid w:val="00D72018"/>
    <w:rsid w:val="00D80DD2"/>
    <w:rsid w:val="00D939D4"/>
    <w:rsid w:val="00D94192"/>
    <w:rsid w:val="00D944F6"/>
    <w:rsid w:val="00DA3814"/>
    <w:rsid w:val="00DA43E7"/>
    <w:rsid w:val="00DA55AA"/>
    <w:rsid w:val="00DA6A0B"/>
    <w:rsid w:val="00DA6B00"/>
    <w:rsid w:val="00DB0BDF"/>
    <w:rsid w:val="00DB183F"/>
    <w:rsid w:val="00DB1923"/>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3102"/>
    <w:rsid w:val="00E20F68"/>
    <w:rsid w:val="00E21101"/>
    <w:rsid w:val="00E21400"/>
    <w:rsid w:val="00E27B55"/>
    <w:rsid w:val="00E27C60"/>
    <w:rsid w:val="00E34791"/>
    <w:rsid w:val="00E40ACA"/>
    <w:rsid w:val="00E414D2"/>
    <w:rsid w:val="00E44EA6"/>
    <w:rsid w:val="00E4784A"/>
    <w:rsid w:val="00E5019F"/>
    <w:rsid w:val="00E50A5E"/>
    <w:rsid w:val="00E55AF4"/>
    <w:rsid w:val="00E56B2A"/>
    <w:rsid w:val="00E645B9"/>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5CD0"/>
    <w:rsid w:val="00F57B04"/>
    <w:rsid w:val="00F618DB"/>
    <w:rsid w:val="00F657EA"/>
    <w:rsid w:val="00F75D93"/>
    <w:rsid w:val="00F77AD9"/>
    <w:rsid w:val="00F802E5"/>
    <w:rsid w:val="00F84AF0"/>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1BC8"/>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3727</Words>
  <Characters>21249</Characters>
  <Application>Microsoft Office Word</Application>
  <DocSecurity>0</DocSecurity>
  <Lines>177</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Tarhaničová, Anna</cp:lastModifiedBy>
  <cp:revision>86</cp:revision>
  <cp:lastPrinted>2017-05-03T08:38:00Z</cp:lastPrinted>
  <dcterms:created xsi:type="dcterms:W3CDTF">2025-01-08T08:31:00Z</dcterms:created>
  <dcterms:modified xsi:type="dcterms:W3CDTF">2025-01-27T13:37:00Z</dcterms:modified>
</cp:coreProperties>
</file>