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vou pr</w:t>
      </w:r>
      <w:r w:rsidR="001F2CB5">
        <w:rPr>
          <w:rFonts w:ascii="Arial" w:hAnsi="Arial" w:cs="Arial"/>
          <w:b/>
          <w:sz w:val="20"/>
          <w:szCs w:val="20"/>
        </w:rPr>
        <w:t>e OZ  Gemer -  výzva  č. 01/2025</w:t>
      </w:r>
      <w:r w:rsidR="001356DC">
        <w:rPr>
          <w:rFonts w:ascii="Arial" w:hAnsi="Arial" w:cs="Arial"/>
          <w:b/>
          <w:sz w:val="20"/>
          <w:szCs w:val="20"/>
        </w:rPr>
        <w:t xml:space="preserve"> -</w:t>
      </w:r>
      <w:r w:rsidR="001356DC" w:rsidRPr="001356DC">
        <w:t xml:space="preserve"> </w:t>
      </w:r>
      <w:r w:rsidR="001356DC">
        <w:rPr>
          <w:rFonts w:ascii="Arial" w:hAnsi="Arial" w:cs="Arial"/>
          <w:b/>
          <w:sz w:val="20"/>
          <w:szCs w:val="20"/>
        </w:rPr>
        <w:t>k</w:t>
      </w:r>
      <w:r w:rsidR="001F2CB5">
        <w:rPr>
          <w:rFonts w:ascii="Arial" w:hAnsi="Arial" w:cs="Arial"/>
          <w:b/>
          <w:sz w:val="20"/>
          <w:szCs w:val="20"/>
        </w:rPr>
        <w:t>amenná soľ kusová pre zver  - 8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 ton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1F2CB5">
        <w:rPr>
          <w:rFonts w:ascii="Arial" w:hAnsi="Arial" w:cs="Arial"/>
          <w:sz w:val="20"/>
          <w:szCs w:val="20"/>
        </w:rPr>
        <w:t>ýzva  č. 01/2025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1356DC" w:rsidRDefault="00910148" w:rsidP="001F2CB5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F2CB5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F2CB5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F2CB5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186CA9" w:rsidRPr="001F2CB5">
        <w:rPr>
          <w:rFonts w:ascii="Arial" w:hAnsi="Arial" w:cs="Arial"/>
          <w:b/>
          <w:sz w:val="20"/>
          <w:szCs w:val="20"/>
        </w:rPr>
        <w:t xml:space="preserve">Organizačná zložka OZ Gemer, </w:t>
      </w:r>
      <w:r w:rsidR="001F2CB5" w:rsidRPr="001F2CB5">
        <w:rPr>
          <w:rFonts w:ascii="Arial" w:hAnsi="Arial" w:cs="Arial"/>
          <w:b/>
          <w:sz w:val="20"/>
          <w:szCs w:val="20"/>
        </w:rPr>
        <w:t>LS - Rimavská Sobota , Potravinárska 1855 , Rimavská Sobota 979 01</w:t>
      </w:r>
      <w:r w:rsidR="001F2CB5">
        <w:rPr>
          <w:rFonts w:ascii="Arial" w:hAnsi="Arial" w:cs="Arial"/>
          <w:b/>
          <w:sz w:val="20"/>
          <w:szCs w:val="20"/>
        </w:rPr>
        <w:t xml:space="preserve">, </w:t>
      </w:r>
      <w:r w:rsidR="001F2CB5" w:rsidRPr="001F2CB5">
        <w:rPr>
          <w:rFonts w:ascii="Arial" w:hAnsi="Arial" w:cs="Arial"/>
          <w:b/>
          <w:sz w:val="20"/>
          <w:szCs w:val="20"/>
        </w:rPr>
        <w:t>OZ-Gemer – Revúca , Námestie slobody 2 , Revúca 050 80</w:t>
      </w:r>
      <w:r w:rsidR="001F2CB5">
        <w:rPr>
          <w:rFonts w:ascii="Arial" w:hAnsi="Arial" w:cs="Arial"/>
          <w:b/>
          <w:sz w:val="20"/>
          <w:szCs w:val="20"/>
        </w:rPr>
        <w:t xml:space="preserve">, </w:t>
      </w:r>
      <w:r w:rsidR="001F2CB5" w:rsidRPr="001F2CB5">
        <w:rPr>
          <w:rFonts w:ascii="Arial" w:hAnsi="Arial" w:cs="Arial"/>
          <w:b/>
          <w:sz w:val="20"/>
          <w:szCs w:val="20"/>
        </w:rPr>
        <w:t>Cena je s dovozom na uvedené miesto dodania</w:t>
      </w:r>
      <w:r w:rsidR="001F2CB5" w:rsidRPr="001F2CB5">
        <w:rPr>
          <w:rFonts w:ascii="Arial" w:hAnsi="Arial" w:cs="Arial"/>
          <w:b/>
          <w:sz w:val="20"/>
          <w:szCs w:val="20"/>
        </w:rPr>
        <w:tab/>
      </w:r>
    </w:p>
    <w:p w:rsidR="001F2CB5" w:rsidRPr="001F2CB5" w:rsidRDefault="001F2CB5" w:rsidP="001F2CB5">
      <w:pPr>
        <w:pStyle w:val="Odsekzoznamu"/>
        <w:rPr>
          <w:rFonts w:ascii="Arial" w:hAnsi="Arial" w:cs="Arial"/>
          <w:b/>
          <w:sz w:val="20"/>
          <w:szCs w:val="20"/>
        </w:rPr>
      </w:pPr>
    </w:p>
    <w:p w:rsidR="001F2CB5" w:rsidRPr="001F2CB5" w:rsidRDefault="001F2CB5" w:rsidP="001F2CB5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F2C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17F" w:rsidRDefault="0047517F" w:rsidP="00B86821">
      <w:pPr>
        <w:spacing w:after="0" w:line="240" w:lineRule="auto"/>
      </w:pPr>
      <w:r>
        <w:separator/>
      </w:r>
    </w:p>
  </w:endnote>
  <w:endnote w:type="continuationSeparator" w:id="0">
    <w:p w:rsidR="0047517F" w:rsidRDefault="0047517F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CB5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17F" w:rsidRDefault="0047517F" w:rsidP="00B86821">
      <w:pPr>
        <w:spacing w:after="0" w:line="240" w:lineRule="auto"/>
      </w:pPr>
      <w:r>
        <w:separator/>
      </w:r>
    </w:p>
  </w:footnote>
  <w:footnote w:type="continuationSeparator" w:id="0">
    <w:p w:rsidR="0047517F" w:rsidRDefault="0047517F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1F2CB5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517F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235B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E028-D0B7-4162-9883-4058F25F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3440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10</cp:revision>
  <cp:lastPrinted>2022-08-22T08:37:00Z</cp:lastPrinted>
  <dcterms:created xsi:type="dcterms:W3CDTF">2023-09-22T08:41:00Z</dcterms:created>
  <dcterms:modified xsi:type="dcterms:W3CDTF">2025-01-29T20:33:00Z</dcterms:modified>
</cp:coreProperties>
</file>