
<file path=[Content_Types].xml><?xml version="1.0" encoding="utf-8"?>
<Types xmlns="http://schemas.openxmlformats.org/package/2006/content-types">
  <Default ContentType="image/bmp" Extension="bmp"/>
  <Default ContentType="image/gif" Extension="gif"/>
  <Default ContentType="image/jpeg" Extension="jfif"/>
  <Default ContentType="image/jpeg" Extension="jpe"/>
  <Default ContentType="image/jpeg" Extension="jpeg"/>
  <Default ContentType="image/jpeg" Extension="jpg"/>
  <Default ContentType="image/png" Extension="png"/>
  <Default ContentType="application/vnd.openxmlformats-package.relationships+xml" Extension="rels"/>
  <Default ContentType="image/tiff" Extension="tif"/>
  <Default ContentType="image/tiff" Extension="tif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rsidR="00F65EB4" w:rsidRDefault="00E32B6D"/>
    <w:tbl>
      <w:tblPr>
        <w:tblStyle w:val="TableGrid"/>
        <w:tblW w:type="pct" w:w="5003"/>
        <w:jc w:val="center"/>
        <w:tblInd w:type="dxa" w:w="0"/>
        <w:tblCellMar>
          <w:top w:type="dxa" w:w="13"/>
          <w:right w:type="dxa" w:w="7"/>
        </w:tblCellMar>
        <w:tblLook w:firstColumn="1" w:firstRow="1" w:lastColumn="0" w:lastRow="0" w:noHBand="0" w:noVBand="1" w:val="04A0"/>
      </w:tblPr>
      <w:tblGrid>
        <w:gridCol w:w="2091"/>
        <w:gridCol w:w="770"/>
        <w:gridCol w:w="6216"/>
      </w:tblGrid>
      <w:tr w:rsidR="002B2CF2" w:rsidRPr="00014C3A" w:rsidTr="00251DEF">
        <w:trPr>
          <w:trHeight w:val="2035"/>
          <w:jc w:val="center"/>
        </w:trPr>
        <w:tc>
          <w:tcPr>
            <w:tcW w:type="pct" w:w="1152"/>
            <w:tcBorders>
              <w:top w:color="000000" w:space="0" w:sz="18" w:val="single"/>
              <w:left w:color="000000" w:space="0" w:sz="18" w:val="single"/>
              <w:bottom w:color="000000" w:space="0" w:sz="18" w:val="single"/>
              <w:right w:val="nil"/>
            </w:tcBorders>
          </w:tcPr>
          <w:p w:rsidP="00887EE8" w:rsidR="002B2CF2" w:rsidRDefault="002B2CF2" w:rsidRPr="00014C3A">
            <w:pPr>
              <w:spacing w:after="120" w:before="120"/>
              <w:ind w:left="113"/>
              <w:jc w:val="center"/>
              <w:rPr>
                <w:bCs/>
              </w:rPr>
            </w:pPr>
            <w:r w:rsidRPr="00014C3A">
              <w:rPr>
                <w:b/>
                <w:bCs/>
              </w:rPr>
              <w:t> </w:t>
            </w:r>
            <w:r w:rsidRPr="00014C3A">
              <w:rPr>
                <w:b/>
                <w:bCs/>
              </w:rPr>
              <w:br/>
            </w:r>
            <w:r w:rsidRPr="00014C3A">
              <w:rPr>
                <w:noProof/>
              </w:rPr>
              <w:drawing>
                <wp:inline distB="0" distL="0" distR="0" distT="0" wp14:anchorId="64E55A07" wp14:editId="4DBB9D8D">
                  <wp:extent cx="952500" cy="466725"/>
                  <wp:effectExtent b="9525" l="0" r="0" t="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466725"/>
                          </a:xfrm>
                          <a:prstGeom prst="rect">
                            <a:avLst/>
                          </a:prstGeom>
                          <a:noFill/>
                          <a:ln>
                            <a:noFill/>
                          </a:ln>
                        </pic:spPr>
                      </pic:pic>
                    </a:graphicData>
                  </a:graphic>
                </wp:inline>
              </w:drawing>
            </w:r>
            <w:r w:rsidRPr="00014C3A">
              <w:rPr>
                <w:b/>
                <w:bCs/>
              </w:rPr>
              <w:br/>
              <w:t>European Commission</w:t>
            </w:r>
            <w:r w:rsidRPr="00014C3A">
              <w:rPr>
                <w:b/>
                <w:bCs/>
              </w:rPr>
              <w:br/>
            </w:r>
            <w:r w:rsidR="00251DEF" w:rsidRPr="00251DEF">
              <w:rPr>
                <w:bCs/>
              </w:rPr>
              <w:t>European Climate, Infrastructure and Environment Executive Agency (CINEA)</w:t>
            </w:r>
          </w:p>
          <w:p w:rsidP="00887EE8" w:rsidR="002B2CF2" w:rsidRDefault="002B2CF2" w:rsidRPr="00014C3A">
            <w:pPr>
              <w:spacing w:after="120" w:before="120"/>
              <w:ind w:left="113"/>
              <w:jc w:val="center"/>
              <w:rPr>
                <w:bCs/>
              </w:rPr>
            </w:pPr>
          </w:p>
          <w:p w:rsidP="00887EE8" w:rsidR="002B2CF2" w:rsidRDefault="002B2CF2" w:rsidRPr="00014C3A">
            <w:pPr>
              <w:spacing w:after="120" w:before="120"/>
              <w:ind w:left="113"/>
              <w:jc w:val="center"/>
            </w:pPr>
            <w:r w:rsidRPr="00014C3A">
              <w:rPr>
                <w:b/>
              </w:rPr>
              <w:t>Connecting Europe Facility</w:t>
            </w:r>
          </w:p>
        </w:tc>
        <w:tc>
          <w:tcPr>
            <w:tcW w:type="pct" w:w="3845"/>
            <w:gridSpan w:val="2"/>
            <w:tcBorders>
              <w:top w:color="000000" w:space="0" w:sz="18" w:val="single"/>
              <w:left w:val="nil"/>
              <w:bottom w:color="000000" w:space="0" w:sz="18" w:val="single"/>
              <w:right w:color="000000" w:space="0" w:sz="18" w:val="single"/>
            </w:tcBorders>
            <w:shd w:color="auto" w:fill="99CCFF" w:val="clear"/>
            <w:vAlign w:val="center"/>
          </w:tcPr>
          <w:p w:rsidP="00796FA7" w:rsidR="002B2CF2" w:rsidRDefault="00C07328">
            <w:pPr>
              <w:spacing w:after="0" w:line="240" w:lineRule="auto"/>
              <w:jc w:val="center"/>
              <w:rPr>
                <w:rFonts w:ascii="Verdana" w:cs="Arial" w:eastAsia="Arial" w:hAnsi="Verdana"/>
                <w:b/>
                <w:sz w:val="36"/>
              </w:rPr>
            </w:pPr>
            <w:r>
              <w:rPr>
                <w:rFonts w:ascii="Verdana" w:cs="Arial" w:eastAsia="Arial" w:hAnsi="Verdana"/>
                <w:b/>
                <w:noProof/>
                <w:sz w:val="36"/>
                <w:szCs w:val="36"/>
              </w:rPr>
              <w:t>ASR-2024-2016-SK-TMC-0218-W-Implementation of GSM-R into ŽSR infrastucture, section of Varín - Košice - Čierna nad Tisou state border</w:t>
            </w:r>
          </w:p>
          <w:p w:rsidP="00F154EC" w:rsidR="002B2CF2" w:rsidRDefault="002B2CF2" w:rsidRPr="00F102E8">
            <w:pPr>
              <w:spacing w:after="120" w:before="120"/>
              <w:ind w:left="113"/>
              <w:jc w:val="center"/>
              <w:rPr>
                <w:rFonts w:ascii="Verdana" w:hAnsi="Verdana"/>
              </w:rPr>
            </w:pPr>
            <w:r w:rsidRPr="00F102E8">
              <w:rPr>
                <w:rFonts w:ascii="Verdana" w:cs="Arial" w:eastAsia="Arial" w:hAnsi="Verdana"/>
                <w:sz w:val="36"/>
              </w:rPr>
              <w:t xml:space="preserve">Reporting period: </w:t>
            </w:r>
            <w:r w:rsidR="00F154EC" w:rsidRPr="00F102E8">
              <w:rPr>
                <w:rFonts w:ascii="Verdana" w:cs="Arial" w:eastAsia="Arial" w:hAnsi="Verdana"/>
                <w:noProof/>
                <w:sz w:val="36"/>
              </w:rPr>
              <w:t>1 January 2023 - 31 December 2023</w:t>
            </w:r>
          </w:p>
        </w:tc>
      </w:tr>
      <w:tr w:rsidR="002B2CF2" w:rsidRPr="00187B31" w:rsidTr="00251DEF">
        <w:trPr>
          <w:trHeight w:val="534"/>
          <w:jc w:val="center"/>
        </w:trPr>
        <w:tc>
          <w:tcPr>
            <w:tcW w:type="pct" w:w="4997"/>
            <w:gridSpan w:val="3"/>
            <w:tcBorders>
              <w:top w:color="000000" w:space="0" w:sz="18" w:val="single"/>
              <w:left w:val="nil"/>
              <w:right w:val="nil"/>
            </w:tcBorders>
            <w:shd w:color="auto" w:fill="FFFFFF" w:val="clear"/>
          </w:tcPr>
          <w:p w:rsidP="00887EE8" w:rsidR="002B2CF2" w:rsidRDefault="002B2CF2" w:rsidRPr="00187B31">
            <w:pPr>
              <w:rPr>
                <w:rFonts w:ascii="Verdana" w:hAnsi="Verdana"/>
              </w:rPr>
            </w:pPr>
          </w:p>
        </w:tc>
      </w:tr>
      <w:tr w:rsidR="002B2CF2" w:rsidRPr="00187B31"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714"/>
          <w:jc w:val="center"/>
        </w:trPr>
        <w:tc>
          <w:tcPr>
            <w:tcW w:type="pct" w:w="5000"/>
            <w:gridSpan w:val="3"/>
            <w:shd w:color="auto" w:fill="99CCFF" w:val="clear"/>
            <w:vAlign w:val="center"/>
          </w:tcPr>
          <w:p w:rsidP="00887EE8" w:rsidR="002B2CF2" w:rsidRDefault="002B2CF2" w:rsidRPr="00187B31">
            <w:pPr>
              <w:spacing w:after="120" w:before="120"/>
              <w:ind w:left="113"/>
              <w:rPr>
                <w:rFonts w:ascii="Verdana" w:hAnsi="Verdana"/>
              </w:rPr>
            </w:pPr>
            <w:bookmarkStart w:id="0" w:name="_GoBack"/>
            <w:bookmarkEnd w:id="0"/>
            <w:r w:rsidRPr="00252ECC">
              <w:rPr>
                <w:rFonts w:ascii="Verdana" w:cs="Arial" w:eastAsia="Arial" w:hAnsi="Verdana"/>
                <w:b/>
                <w:sz w:val="32"/>
              </w:rPr>
              <w:t>1. INFORMATION ON THE ACTION</w:t>
            </w:r>
          </w:p>
        </w:tc>
      </w:tr>
      <w:tr w:rsidR="002B2CF2" w:rsidRPr="00187B31"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298"/>
          <w:jc w:val="center"/>
        </w:trPr>
        <w:tc>
          <w:tcPr>
            <w:tcW w:type="pct" w:w="1576"/>
            <w:gridSpan w:val="2"/>
            <w:shd w:color="auto" w:fill="FFFF99" w:val="clear"/>
          </w:tcPr>
          <w:p w:rsidP="00887EE8" w:rsidR="002B2CF2" w:rsidRDefault="002B2CF2" w:rsidRPr="00187B31">
            <w:pPr>
              <w:spacing w:after="120" w:before="120"/>
              <w:ind w:left="113"/>
              <w:rPr>
                <w:rFonts w:ascii="Verdana" w:hAnsi="Verdana"/>
              </w:rPr>
            </w:pPr>
            <w:r w:rsidRPr="00187B31">
              <w:rPr>
                <w:rFonts w:ascii="Verdana" w:cs="Arial" w:eastAsia="Arial" w:hAnsi="Verdana"/>
                <w:sz w:val="24"/>
              </w:rPr>
              <w:t>Grant Agreement Nº</w:t>
            </w:r>
          </w:p>
        </w:tc>
        <w:tc>
          <w:tcPr>
            <w:tcW w:type="pct" w:w="3424"/>
            <w:vAlign w:val="center"/>
          </w:tcPr>
          <w:p w:rsidP="00887EE8" w:rsidR="002B2CF2" w:rsidRDefault="00331949" w:rsidRPr="00331949">
            <w:pPr>
              <w:spacing w:after="120" w:before="120"/>
              <w:ind w:left="113"/>
              <w:rPr>
                <w:rFonts w:ascii="Verdana" w:cs="Arial" w:eastAsia="Arial" w:hAnsi="Verdana"/>
                <w:sz w:val="24"/>
              </w:rPr>
            </w:pPr>
            <w:r>
              <w:rPr>
                <w:rFonts w:ascii="Verdana" w:cs="Arial" w:eastAsia="Arial" w:hAnsi="Verdana"/>
                <w:noProof/>
                <w:sz w:val="24"/>
              </w:rPr>
              <w:t>INEA/CEF/TRAN/M2016/1352768</w:t>
            </w:r>
          </w:p>
        </w:tc>
      </w:tr>
      <w:tr w:rsidR="002B2CF2" w:rsidRPr="00552AD0"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598"/>
          <w:jc w:val="center"/>
        </w:trPr>
        <w:tc>
          <w:tcPr>
            <w:tcW w:type="pct" w:w="1576"/>
            <w:gridSpan w:val="2"/>
            <w:shd w:color="auto" w:fill="FFFF99" w:val="clear"/>
            <w:vAlign w:val="center"/>
          </w:tcPr>
          <w:p w:rsidP="00887EE8" w:rsidR="002B2CF2" w:rsidRDefault="002B2CF2" w:rsidRPr="00187B31">
            <w:pPr>
              <w:spacing w:after="120" w:before="120"/>
              <w:ind w:left="113"/>
              <w:rPr>
                <w:rFonts w:ascii="Verdana" w:cs="Arial" w:eastAsia="Arial" w:hAnsi="Verdana"/>
                <w:sz w:val="24"/>
              </w:rPr>
            </w:pPr>
            <w:r w:rsidRPr="00187B31">
              <w:rPr>
                <w:rFonts w:ascii="Verdana" w:cs="Arial" w:eastAsia="Arial" w:hAnsi="Verdana"/>
                <w:sz w:val="24"/>
              </w:rPr>
              <w:t xml:space="preserve">Action </w:t>
            </w:r>
            <w:r>
              <w:rPr>
                <w:rFonts w:ascii="Verdana" w:cs="Arial" w:eastAsia="Arial" w:hAnsi="Verdana"/>
                <w:sz w:val="24"/>
              </w:rPr>
              <w:t>number</w:t>
            </w:r>
          </w:p>
        </w:tc>
        <w:tc>
          <w:tcPr>
            <w:tcW w:type="pct" w:w="3424"/>
            <w:vAlign w:val="center"/>
          </w:tcPr>
          <w:p w:rsidP="00887EE8" w:rsidR="002B2CF2" w:rsidRDefault="00331949" w:rsidRPr="008F6F32">
            <w:pPr>
              <w:spacing w:after="120" w:before="120"/>
              <w:ind w:left="113"/>
              <w:rPr>
                <w:rFonts w:ascii="Verdana" w:cs="Arial" w:eastAsia="Arial" w:hAnsi="Verdana"/>
                <w:sz w:val="24"/>
              </w:rPr>
            </w:pPr>
            <w:r>
              <w:rPr>
                <w:rFonts w:ascii="Verdana" w:cs="Arial" w:eastAsia="Arial" w:hAnsi="Verdana"/>
                <w:noProof/>
                <w:sz w:val="24"/>
              </w:rPr>
              <w:t>2016-SK-TMC-0218-W</w:t>
            </w:r>
          </w:p>
        </w:tc>
      </w:tr>
      <w:tr w:rsidR="002B2CF2" w:rsidRPr="00552AD0"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677"/>
          <w:jc w:val="center"/>
        </w:trPr>
        <w:tc>
          <w:tcPr>
            <w:tcW w:type="pct" w:w="1576"/>
            <w:gridSpan w:val="2"/>
            <w:shd w:color="auto" w:fill="FFFF99" w:val="clear"/>
            <w:vAlign w:val="center"/>
          </w:tcPr>
          <w:p w:rsidP="00887EE8" w:rsidR="002B2CF2" w:rsidRDefault="002B2CF2" w:rsidRPr="008F6F32">
            <w:pPr>
              <w:spacing w:after="120" w:before="120"/>
              <w:ind w:left="113"/>
              <w:rPr>
                <w:rFonts w:ascii="Verdana" w:cs="Arial" w:eastAsia="Arial" w:hAnsi="Verdana"/>
                <w:sz w:val="24"/>
              </w:rPr>
            </w:pPr>
            <w:r w:rsidRPr="00187B31">
              <w:rPr>
                <w:rFonts w:ascii="Verdana" w:cs="Arial" w:eastAsia="Arial" w:hAnsi="Verdana"/>
                <w:sz w:val="24"/>
              </w:rPr>
              <w:t xml:space="preserve">Action </w:t>
            </w:r>
            <w:r>
              <w:rPr>
                <w:rFonts w:ascii="Verdana" w:cs="Arial" w:eastAsia="Arial" w:hAnsi="Verdana"/>
                <w:sz w:val="24"/>
              </w:rPr>
              <w:t>t</w:t>
            </w:r>
            <w:r w:rsidRPr="00187B31">
              <w:rPr>
                <w:rFonts w:ascii="Verdana" w:cs="Arial" w:eastAsia="Arial" w:hAnsi="Verdana"/>
                <w:sz w:val="24"/>
              </w:rPr>
              <w:t>itle</w:t>
            </w:r>
          </w:p>
        </w:tc>
        <w:tc>
          <w:tcPr>
            <w:tcW w:type="pct" w:w="3424"/>
            <w:vAlign w:val="center"/>
          </w:tcPr>
          <w:p w:rsidP="00887EE8" w:rsidR="002B2CF2" w:rsidRDefault="00331949" w:rsidRPr="008F6F32">
            <w:pPr>
              <w:spacing w:after="120" w:before="120"/>
              <w:ind w:left="113"/>
              <w:rPr>
                <w:rFonts w:ascii="Verdana" w:cs="Arial" w:eastAsia="Arial" w:hAnsi="Verdana"/>
                <w:sz w:val="24"/>
              </w:rPr>
            </w:pPr>
            <w:r>
              <w:rPr>
                <w:rFonts w:ascii="Verdana" w:cs="Arial" w:eastAsia="Arial" w:hAnsi="Verdana"/>
                <w:noProof/>
                <w:sz w:val="24"/>
              </w:rPr>
              <w:t>Implementation of GSM-R into ŽSR infrastucture, section of Varín - Košice - Čierna nad Tisou state border</w:t>
            </w:r>
          </w:p>
        </w:tc>
      </w:tr>
      <w:tr w:rsidR="002B2CF2" w:rsidRPr="00552AD0"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298"/>
          <w:jc w:val="center"/>
        </w:trPr>
        <w:tc>
          <w:tcPr>
            <w:tcW w:type="pct" w:w="1576"/>
            <w:gridSpan w:val="2"/>
            <w:shd w:color="auto" w:fill="FFFF99" w:val="clear"/>
          </w:tcPr>
          <w:p w:rsidP="00887EE8" w:rsidR="002B2CF2" w:rsidRDefault="002B2CF2" w:rsidRPr="008F6F32">
            <w:pPr>
              <w:spacing w:after="120" w:before="120"/>
              <w:ind w:left="113"/>
              <w:rPr>
                <w:rFonts w:ascii="Verdana" w:cs="Arial" w:eastAsia="Arial" w:hAnsi="Verdana"/>
                <w:sz w:val="24"/>
              </w:rPr>
            </w:pPr>
            <w:r w:rsidRPr="00187B31">
              <w:rPr>
                <w:rFonts w:ascii="Verdana" w:cs="Arial" w:eastAsia="Arial" w:hAnsi="Verdana"/>
                <w:sz w:val="24"/>
              </w:rPr>
              <w:t>PCI</w:t>
            </w:r>
            <w:r>
              <w:rPr>
                <w:rFonts w:ascii="Verdana" w:cs="Arial" w:eastAsia="Arial" w:hAnsi="Verdana"/>
                <w:sz w:val="24"/>
              </w:rPr>
              <w:t xml:space="preserve"> (for energy </w:t>
            </w:r>
            <w:r w:rsidR="00B96B89">
              <w:rPr>
                <w:rFonts w:ascii="Verdana" w:cs="Arial" w:eastAsia="Arial" w:hAnsi="Verdana"/>
                <w:sz w:val="24"/>
              </w:rPr>
              <w:t xml:space="preserve">and synergy </w:t>
            </w:r>
            <w:r>
              <w:rPr>
                <w:rFonts w:ascii="Verdana" w:cs="Arial" w:eastAsia="Arial" w:hAnsi="Verdana"/>
                <w:sz w:val="24"/>
              </w:rPr>
              <w:t>only)</w:t>
            </w:r>
          </w:p>
        </w:tc>
        <w:tc>
          <w:tcPr>
            <w:tcW w:type="pct" w:w="3424"/>
            <w:vAlign w:val="center"/>
          </w:tcPr>
          <w:p w:rsidP="00887EE8" w:rsidR="002B2CF2" w:rsidRDefault="0086003A" w:rsidRPr="008F6F32">
            <w:pPr>
              <w:spacing w:after="120" w:before="120"/>
              <w:ind w:left="113"/>
              <w:rPr>
                <w:rFonts w:ascii="Verdana" w:cs="Arial" w:eastAsia="Arial" w:hAnsi="Verdana"/>
                <w:sz w:val="24"/>
              </w:rPr>
            </w:pPr>
            <w:r>
              <w:rPr>
                <w:rFonts w:ascii="Verdana" w:cs="Arial" w:eastAsia="Arial" w:hAnsi="Verdana"/>
                <w:noProof/>
                <w:sz w:val="24"/>
              </w:rPr>
              <w:t/>
            </w:r>
          </w:p>
        </w:tc>
      </w:tr>
    </w:tbl>
    <w:p w:rsidR="002B2CF2" w:rsidRDefault="00E32B6D">
      <w:r w:rsidR="00310E2D">
        <w:rPr>
          <w:noProof/>
        </w:rPr>
        <w:t/>
      </w:r>
    </w:p>
    <w:tbl>
      <w:tblPr>
        <w:tblStyle w:val="TableGrid"/>
        <w:tblW w:type="pct" w:w="5003"/>
        <w:jc w:val="center"/>
        <w:tblInd w:type="dxa" w:w="0"/>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CellMar>
          <w:top w:type="dxa" w:w="13"/>
          <w:right w:type="dxa" w:w="7"/>
        </w:tblCellMar>
        <w:tblLook w:firstColumn="1" w:firstRow="1" w:lastColumn="0" w:lastRow="0" w:noHBand="0" w:noVBand="1" w:val="04A0"/>
      </w:tblPr>
      <w:tblGrid>
        <w:gridCol w:w="2861"/>
        <w:gridCol w:w="6216"/>
      </w:tblGrid>
      <w:tr w:rsidR="00AC1B86" w:rsidRPr="00187B31" w:rsidTr="000C4B70">
        <w:trPr>
          <w:trHeight w:val="355"/>
          <w:jc w:val="center"/>
        </w:trPr>
        <w:tc>
          <w:tcPr>
            <w:tcW w:type="pct" w:w="5000"/>
            <w:gridSpan w:val="2"/>
            <w:shd w:color="auto" w:fill="99CCFF" w:val="clear"/>
          </w:tcPr>
          <w:p w:rsidP="00887EE8" w:rsidR="00AC1B86" w:rsidRDefault="00AC1B86" w:rsidRPr="00187B31">
            <w:pPr>
              <w:spacing w:after="120" w:before="120"/>
              <w:ind w:left="113"/>
              <w:rPr>
                <w:rFonts w:ascii="Verdana" w:hAnsi="Verdana"/>
              </w:rPr>
            </w:pPr>
            <w:r w:rsidRPr="00252ECC">
              <w:rPr>
                <w:rFonts w:ascii="Verdana" w:cs="Arial" w:eastAsia="Arial" w:hAnsi="Verdana"/>
                <w:sz w:val="36"/>
              </w:rPr>
              <w:t>Author of the report</w:t>
            </w:r>
          </w:p>
        </w:tc>
      </w:tr>
      <w:tr w:rsidR="00AC1B86" w:rsidRPr="00187B31" w:rsidTr="000C4B70">
        <w:trPr>
          <w:trHeight w:val="653"/>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Name</w:t>
            </w:r>
          </w:p>
        </w:tc>
        <w:tc>
          <w:tcPr>
            <w:tcW w:type="pct" w:w="3424"/>
            <w:vAlign w:val="center"/>
          </w:tcPr>
          <w:p w:rsidP="00310E2D" w:rsidR="00AC1B86" w:rsidRDefault="00310E2D" w:rsidRPr="00310E2D">
            <w:pPr>
              <w:spacing w:after="120" w:before="120"/>
              <w:ind w:left="113"/>
              <w:rPr>
                <w:rFonts w:ascii="Verdana" w:cs="Arial" w:eastAsia="Arial" w:hAnsi="Verdana"/>
                <w:sz w:val="24"/>
              </w:rPr>
            </w:pPr>
            <w:r>
              <w:rPr>
                <w:rFonts w:ascii="Verdana" w:cs="Arial" w:eastAsia="Arial" w:hAnsi="Verdana"/>
                <w:noProof/>
                <w:sz w:val="24"/>
              </w:rPr>
              <w:t>Daniela</w:t>
            </w:r>
            <w:r>
              <w:rPr>
                <w:rFonts w:ascii="Verdana" w:cs="Arial" w:eastAsia="Arial" w:hAnsi="Verdana"/>
                <w:sz w:val="24"/>
              </w:rPr>
              <w:t xml:space="preserve"> </w:t>
            </w:r>
            <w:r>
              <w:rPr>
                <w:rFonts w:ascii="Verdana" w:cs="Arial" w:eastAsia="Arial" w:hAnsi="Verdana"/>
                <w:noProof/>
                <w:sz w:val="24"/>
              </w:rPr>
              <w:t>Hanzelová</w:t>
            </w:r>
          </w:p>
        </w:tc>
      </w:tr>
      <w:tr w:rsidR="00AC1B86" w:rsidRPr="00187B31" w:rsidTr="000C4B70">
        <w:trPr>
          <w:trHeight w:val="653"/>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Position</w:t>
            </w:r>
          </w:p>
        </w:tc>
        <w:tc>
          <w:tcPr>
            <w:tcW w:type="pct" w:w="3424"/>
            <w:vAlign w:val="center"/>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Head Officer Specialist</w:t>
            </w:r>
          </w:p>
        </w:tc>
      </w:tr>
      <w:tr w:rsidR="00AC1B86" w:rsidRPr="00187B31" w:rsidTr="000C4B70">
        <w:trPr>
          <w:trHeight w:val="637"/>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Entity</w:t>
            </w:r>
          </w:p>
        </w:tc>
        <w:tc>
          <w:tcPr>
            <w:tcW w:type="pct" w:w="3424"/>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Železnice Slovenskej republiky</w:t>
            </w:r>
          </w:p>
        </w:tc>
      </w:tr>
      <w:tr w:rsidR="00AC1B86" w:rsidRPr="00187B31" w:rsidTr="000C4B70">
        <w:trPr>
          <w:trHeight w:val="355"/>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Telephone Nº</w:t>
            </w:r>
          </w:p>
        </w:tc>
        <w:tc>
          <w:tcPr>
            <w:tcW w:type="pct" w:w="3424"/>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+421 2 2029 7569 </w:t>
            </w:r>
          </w:p>
        </w:tc>
      </w:tr>
      <w:tr w:rsidR="00AC1B86" w:rsidRPr="00187B31" w:rsidTr="000C4B70">
        <w:trPr>
          <w:trHeight w:val="355"/>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E-mail</w:t>
            </w:r>
          </w:p>
        </w:tc>
        <w:tc>
          <w:tcPr>
            <w:tcW w:type="pct" w:w="3424"/>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Hanzelova.Daniela@zsr.sk</w:t>
            </w:r>
          </w:p>
        </w:tc>
      </w:tr>
    </w:tbl>
    <w:p w:rsidR="00514B03" w:rsidRDefault="00514B03">
      <w:pPr>
        <w:spacing w:after="0" w:line="240" w:lineRule="auto"/>
      </w:pPr>
    </w:p>
    <w:p w:rsidR="00C7427B" w:rsidRDefault="00E035B3">
      <w:pPr>
        <w:spacing w:after="0" w:line="240" w:lineRule="auto"/>
      </w:pPr>
      <w:r w:rsidR="00310E2D">
        <w:rPr>
          <w:noProof/>
        </w:rPr>
        <w:t/>
      </w:r>
      <w:r w:rsidR="00C7427B">
        <w:br w:type="page"/>
      </w:r>
    </w:p>
    <w:p w:rsidR="00C7427B" w:rsidRDefault="00C7427B"/>
    <w:tbl>
      <w:tblPr>
        <w:tblpPr w:horzAnchor="margin" w:leftFromText="180" w:rightFromText="180" w:tblpXSpec="center" w:tblpY="123" w:vertAnchor="text"/>
        <w:tblW w:type="pct" w:w="5000"/>
        <w:tblBorders>
          <w:top w:color="auto" w:space="0" w:sz="18" w:val="single"/>
          <w:left w:color="auto" w:space="0" w:sz="18" w:val="single"/>
          <w:bottom w:color="auto" w:space="0" w:sz="18" w:val="single"/>
          <w:right w:color="auto" w:space="0" w:sz="18" w:val="single"/>
          <w:insideH w:color="auto" w:space="0" w:sz="18" w:val="single"/>
          <w:insideV w:color="auto" w:space="0" w:sz="18" w:val="single"/>
        </w:tblBorders>
        <w:shd w:color="auto" w:fill="FFFFFF" w:val="clear"/>
        <w:tblLayout w:type="fixed"/>
        <w:tblLook w:firstColumn="0" w:firstRow="0" w:lastColumn="0" w:lastRow="0" w:noHBand="0" w:noVBand="0" w:val="0000"/>
      </w:tblPr>
      <w:tblGrid>
        <w:gridCol w:w="9242"/>
      </w:tblGrid>
      <w:tr w:rsidR="00301882" w:rsidRPr="00187B31" w:rsidTr="00301882">
        <w:trPr>
          <w:trHeight w:val="412"/>
        </w:trPr>
        <w:tc>
          <w:tcPr>
            <w:tcW w:type="dxa" w:w="9594"/>
            <w:shd w:color="auto" w:fill="99CCFF" w:val="clear"/>
            <w:tcMar>
              <w:top w:type="dxa" w:w="113"/>
              <w:bottom w:type="dxa" w:w="113"/>
            </w:tcMar>
          </w:tcPr>
          <w:p w:rsidP="00887EE8" w:rsidR="00301882" w:rsidRDefault="00301882" w:rsidRPr="006E5959">
            <w:pPr>
              <w:keepNext/>
              <w:snapToGrid w:val="0"/>
              <w:spacing w:after="120" w:before="120"/>
              <w:ind w:left="113" w:right="-17"/>
              <w:rPr>
                <w:rFonts w:ascii="Verdana" w:hAnsi="Verdana"/>
                <w:b/>
                <w:spacing w:val="-10"/>
                <w:sz w:val="32"/>
                <w:szCs w:val="32"/>
              </w:rPr>
            </w:pPr>
            <w:r w:rsidRPr="006E5959">
              <w:rPr>
                <w:rFonts w:ascii="Verdana" w:hAnsi="Verdana"/>
                <w:b/>
                <w:spacing w:val="-10"/>
                <w:sz w:val="32"/>
                <w:szCs w:val="32"/>
              </w:rPr>
              <w:t xml:space="preserve">2. INFORMATION ON THE PROGRESS </w:t>
            </w:r>
            <w:r>
              <w:rPr>
                <w:rFonts w:ascii="Verdana" w:hAnsi="Verdana"/>
                <w:b/>
                <w:spacing w:val="-10"/>
                <w:sz w:val="32"/>
                <w:szCs w:val="32"/>
              </w:rPr>
              <w:t xml:space="preserve">OF </w:t>
            </w:r>
            <w:r w:rsidRPr="006E5959">
              <w:rPr>
                <w:rFonts w:ascii="Verdana" w:hAnsi="Verdana"/>
                <w:b/>
                <w:spacing w:val="-10"/>
                <w:sz w:val="32"/>
                <w:szCs w:val="32"/>
              </w:rPr>
              <w:t>THE ACTION</w:t>
            </w:r>
            <w:r>
              <w:rPr>
                <w:rFonts w:ascii="Verdana" w:hAnsi="Verdana"/>
                <w:b/>
                <w:spacing w:val="-10"/>
                <w:sz w:val="32"/>
                <w:szCs w:val="32"/>
              </w:rPr>
              <w:t xml:space="preserve"> </w:t>
            </w:r>
            <w:r w:rsidRPr="006A511D">
              <w:rPr>
                <w:rFonts w:ascii="Verdana" w:hAnsi="Verdana"/>
                <w:b/>
                <w:spacing w:val="-10"/>
                <w:sz w:val="24"/>
                <w:szCs w:val="32"/>
              </w:rPr>
              <w:t>(GA II.23.1.1.c</w:t>
            </w:r>
            <w:r>
              <w:rPr>
                <w:rFonts w:ascii="Verdana" w:hAnsi="Verdana"/>
                <w:b/>
                <w:spacing w:val="-10"/>
                <w:sz w:val="24"/>
                <w:szCs w:val="32"/>
              </w:rPr>
              <w:t xml:space="preserve"> or SESAR FPA II.23.1b.c</w:t>
            </w:r>
            <w:r w:rsidRPr="006A511D">
              <w:rPr>
                <w:rFonts w:ascii="Verdana" w:hAnsi="Verdana"/>
                <w:b/>
                <w:spacing w:val="-10"/>
                <w:sz w:val="24"/>
                <w:szCs w:val="32"/>
              </w:rPr>
              <w:t>)</w:t>
            </w:r>
          </w:p>
        </w:tc>
      </w:tr>
    </w:tbl>
    <w:p w:rsidR="00C7427B" w:rsidRDefault="00C7427B"/>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9E5213" w:rsidRPr="00187B31" w:rsidTr="009E5213">
        <w:trPr>
          <w:trHeight w:val="408"/>
          <w:jc w:val="center"/>
        </w:trPr>
        <w:tc>
          <w:tcPr>
            <w:tcW w:type="dxa" w:w="9594"/>
            <w:shd w:color="auto" w:fill="99CCFF" w:val="clear"/>
          </w:tcPr>
          <w:p w:rsidP="00887EE8" w:rsidR="009E5213" w:rsidRDefault="009E5213" w:rsidRPr="00187B31">
            <w:pPr>
              <w:spacing w:after="120" w:before="120"/>
              <w:ind w:left="113"/>
              <w:rPr>
                <w:rFonts w:ascii="Verdana" w:hAnsi="Verdana"/>
                <w:b/>
                <w:spacing w:val="-10"/>
              </w:rPr>
            </w:pPr>
            <w:r w:rsidRPr="00187B31">
              <w:rPr>
                <w:rFonts w:ascii="Verdana" w:hAnsi="Verdana"/>
                <w:b/>
                <w:spacing w:val="-10"/>
              </w:rPr>
              <w:t xml:space="preserve">2.1. </w:t>
            </w:r>
            <w:r>
              <w:rPr>
                <w:rFonts w:ascii="Verdana" w:hAnsi="Verdana"/>
                <w:b/>
                <w:spacing w:val="-10"/>
              </w:rPr>
              <w:t>Overall progress of the Action</w:t>
            </w:r>
            <w:r w:rsidRPr="00187B31">
              <w:rPr>
                <w:rFonts w:ascii="Verdana" w:hAnsi="Verdana"/>
                <w:b/>
                <w:spacing w:val="-10"/>
              </w:rPr>
              <w:t xml:space="preserve"> </w:t>
            </w:r>
            <w:r w:rsidR="00242468">
              <w:rPr>
                <w:rFonts w:ascii="Verdana" w:hAnsi="Verdana"/>
                <w:b/>
                <w:spacing w:val="-10"/>
              </w:rPr>
              <w:t>until the end of the previous reporting period</w:t>
            </w:r>
          </w:p>
        </w:tc>
      </w:tr>
    </w:tbl>
    <w:p w:rsidR="00C7427B" w:rsidRDefault="00C7427B"/>
    <w:tbl>
      <w:tblPr>
        <w:tblW w:type="pct" w:w="5000"/>
        <w:jc w:val="center"/>
        <w:tblLook w:firstColumn="1" w:firstRow="1" w:lastColumn="0" w:lastRow="0" w:noHBand="0" w:noVBand="1" w:val="04A0"/>
      </w:tblPr>
      <w:tblGrid>
        <w:gridCol w:w="942"/>
        <w:gridCol w:w="906"/>
        <w:gridCol w:w="1273"/>
        <w:gridCol w:w="1237"/>
        <w:gridCol w:w="1729"/>
        <w:gridCol w:w="1775"/>
        <w:gridCol w:w="1380"/>
      </w:tblGrid>
      <w:tr w:rsidR="008B6394" w:rsidRPr="00127DD0" w:rsidTr="00FC63CA">
        <w:trPr>
          <w:trHeight w:val="560"/>
          <w:jc w:val="center"/>
        </w:trPr>
        <w:tc>
          <w:tcPr>
            <w:tcW w:type="dxa" w:w="2601"/>
            <w:gridSpan w:val="2"/>
            <w:tcBorders>
              <w:top w:color="auto" w:space="0" w:sz="8" w:val="single"/>
              <w:left w:color="auto" w:space="0" w:sz="8" w:val="single"/>
              <w:bottom w:color="auto" w:space="0" w:sz="4" w:val="single"/>
              <w:right w:color="auto" w:space="0" w:sz="4" w:val="single"/>
            </w:tcBorders>
            <w:shd w:color="auto" w:fill="auto" w:val="clear"/>
            <w:noWrap/>
            <w:vAlign w:val="center"/>
            <w:hideMark/>
          </w:tcPr>
          <w:p w:rsidP="00887EE8" w:rsidR="009E5213" w:rsidRDefault="009E5213" w:rsidRPr="00127DD0">
            <w:pPr>
              <w:spacing w:after="0" w:line="240" w:lineRule="auto"/>
              <w:jc w:val="center"/>
              <w:rPr>
                <w:rFonts w:eastAsia="Times New Roman"/>
                <w:b/>
                <w:lang w:eastAsia="en-GB"/>
              </w:rPr>
            </w:pPr>
            <w:r w:rsidRPr="00127DD0">
              <w:rPr>
                <w:rFonts w:eastAsia="Times New Roman"/>
                <w:b/>
                <w:lang w:eastAsia="en-GB"/>
              </w:rPr>
              <w:t xml:space="preserve">Planned dates </w:t>
            </w:r>
            <w:r w:rsidRPr="00127DD0">
              <w:rPr>
                <w:rFonts w:eastAsia="Times New Roman"/>
                <w:b/>
                <w:sz w:val="18"/>
                <w:lang w:eastAsia="en-GB"/>
              </w:rPr>
              <w:t>(GA)</w:t>
            </w:r>
          </w:p>
        </w:tc>
        <w:tc>
          <w:tcPr>
            <w:tcW w:type="dxa" w:w="2677"/>
            <w:gridSpan w:val="2"/>
            <w:tcBorders>
              <w:top w:color="auto" w:space="0" w:sz="8" w:val="single"/>
              <w:left w:val="nil"/>
              <w:bottom w:color="auto" w:space="0" w:sz="4" w:val="single"/>
              <w:right w:color="auto" w:space="0" w:sz="4" w:val="single"/>
            </w:tcBorders>
            <w:shd w:color="auto" w:fill="auto" w:val="clear"/>
            <w:noWrap/>
            <w:vAlign w:val="center"/>
            <w:hideMark/>
          </w:tcPr>
          <w:p w:rsidP="00887EE8" w:rsidR="009E5213" w:rsidRDefault="009E5213" w:rsidRPr="00127DD0">
            <w:pPr>
              <w:spacing w:after="0" w:line="240" w:lineRule="auto"/>
              <w:jc w:val="center"/>
              <w:rPr>
                <w:rFonts w:eastAsia="Times New Roman"/>
                <w:b/>
                <w:lang w:eastAsia="en-GB"/>
              </w:rPr>
            </w:pPr>
            <w:r>
              <w:rPr>
                <w:rFonts w:eastAsia="Times New Roman"/>
                <w:b/>
                <w:lang w:eastAsia="en-GB"/>
              </w:rPr>
              <w:t>Previous</w:t>
            </w:r>
            <w:r w:rsidRPr="00127DD0">
              <w:rPr>
                <w:rFonts w:eastAsia="Times New Roman"/>
                <w:b/>
                <w:lang w:eastAsia="en-GB"/>
              </w:rPr>
              <w:t xml:space="preserve"> ASR dates</w:t>
            </w:r>
          </w:p>
        </w:tc>
        <w:tc>
          <w:tcPr>
            <w:tcW w:type="dxa" w:w="2649"/>
            <w:gridSpan w:val="2"/>
            <w:tcBorders>
              <w:top w:color="auto" w:space="0" w:sz="8" w:val="single"/>
              <w:left w:val="nil"/>
              <w:bottom w:color="auto" w:space="0" w:sz="4" w:val="single"/>
              <w:right w:color="auto" w:space="0" w:sz="4" w:val="single"/>
            </w:tcBorders>
            <w:shd w:color="auto" w:fill="auto" w:val="clear"/>
            <w:noWrap/>
            <w:vAlign w:val="center"/>
            <w:hideMark/>
          </w:tcPr>
          <w:p w:rsidP="004B31A7" w:rsidR="009E5213" w:rsidRDefault="004B31A7" w:rsidRPr="00127DD0">
            <w:pPr>
              <w:spacing w:after="0" w:line="240" w:lineRule="auto"/>
              <w:jc w:val="center"/>
              <w:rPr>
                <w:rFonts w:eastAsia="Times New Roman"/>
                <w:b/>
                <w:lang w:eastAsia="en-GB"/>
              </w:rPr>
            </w:pPr>
            <w:r>
              <w:rPr>
                <w:rFonts w:eastAsia="Times New Roman"/>
                <w:b/>
                <w:lang w:eastAsia="en-GB"/>
              </w:rPr>
              <w:t>Actual</w:t>
            </w:r>
            <w:r w:rsidR="009E5213" w:rsidRPr="00127DD0">
              <w:rPr>
                <w:rFonts w:eastAsia="Times New Roman"/>
                <w:b/>
                <w:lang w:eastAsia="en-GB"/>
              </w:rPr>
              <w:t xml:space="preserve"> dates</w:t>
            </w:r>
          </w:p>
        </w:tc>
        <w:tc>
          <w:tcPr>
            <w:tcW w:type="dxa" w:w="1315"/>
            <w:vMerge w:val="restart"/>
            <w:tcBorders>
              <w:top w:color="auto" w:space="0" w:sz="8" w:val="single"/>
              <w:left w:color="auto" w:space="0" w:sz="4" w:val="single"/>
              <w:right w:color="auto" w:space="0" w:sz="4" w:val="single"/>
            </w:tcBorders>
            <w:shd w:color="auto" w:fill="auto" w:val="clear"/>
            <w:vAlign w:val="center"/>
            <w:hideMark/>
          </w:tcPr>
          <w:p w:rsidP="00462537" w:rsidR="009E5213" w:rsidRDefault="00462537" w:rsidRPr="00127DD0">
            <w:pPr>
              <w:spacing w:after="0" w:line="240" w:lineRule="auto"/>
              <w:jc w:val="center"/>
              <w:rPr>
                <w:rFonts w:eastAsia="Times New Roman"/>
                <w:b/>
                <w:lang w:eastAsia="en-GB"/>
              </w:rPr>
            </w:pPr>
            <w:r>
              <w:rPr>
                <w:rFonts w:eastAsia="Times New Roman"/>
                <w:b/>
                <w:lang w:eastAsia="en-GB"/>
              </w:rPr>
              <w:t>Overall t</w:t>
            </w:r>
            <w:r w:rsidR="00242468">
              <w:rPr>
                <w:rFonts w:eastAsia="Times New Roman"/>
                <w:b/>
                <w:lang w:eastAsia="en-GB"/>
              </w:rPr>
              <w:t>echnical p</w:t>
            </w:r>
            <w:r w:rsidR="009E5213" w:rsidRPr="00127DD0">
              <w:rPr>
                <w:rFonts w:eastAsia="Times New Roman"/>
                <w:b/>
                <w:lang w:eastAsia="en-GB"/>
              </w:rPr>
              <w:t xml:space="preserve">rogress achieved at the end of the </w:t>
            </w:r>
            <w:r w:rsidR="00242468">
              <w:rPr>
                <w:rFonts w:eastAsia="Times New Roman"/>
                <w:b/>
                <w:lang w:eastAsia="en-GB"/>
              </w:rPr>
              <w:t xml:space="preserve">previous </w:t>
            </w:r>
            <w:r w:rsidR="009E5213" w:rsidRPr="00127DD0">
              <w:rPr>
                <w:rFonts w:eastAsia="Times New Roman"/>
                <w:b/>
                <w:lang w:eastAsia="en-GB"/>
              </w:rPr>
              <w:t xml:space="preserve">reporting period </w:t>
            </w:r>
            <w:r w:rsidR="009E5213" w:rsidRPr="00127DD0">
              <w:rPr>
                <w:rFonts w:eastAsia="Times New Roman"/>
                <w:b/>
                <w:sz w:val="18"/>
                <w:lang w:eastAsia="en-GB"/>
              </w:rPr>
              <w:t>(%)</w:t>
            </w:r>
            <w:r w:rsidR="009E5213">
              <w:rPr>
                <w:rFonts w:eastAsia="Times New Roman"/>
                <w:b/>
                <w:sz w:val="18"/>
                <w:lang w:eastAsia="en-GB"/>
              </w:rPr>
              <w:t>*</w:t>
            </w:r>
          </w:p>
        </w:tc>
      </w:tr>
      <w:tr w:rsidR="008B6394" w:rsidRPr="0004062D" w:rsidTr="00FC63CA">
        <w:trPr>
          <w:trHeight w:val="560"/>
          <w:jc w:val="center"/>
        </w:trPr>
        <w:tc>
          <w:tcPr>
            <w:tcW w:type="dxa" w:w="1313"/>
            <w:tcBorders>
              <w:top w:val="nil"/>
              <w:left w:color="auto" w:space="0" w:sz="8" w:val="single"/>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Start</w:t>
            </w:r>
          </w:p>
        </w:tc>
        <w:tc>
          <w:tcPr>
            <w:tcW w:type="dxa" w:w="1288"/>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End</w:t>
            </w:r>
          </w:p>
        </w:tc>
        <w:tc>
          <w:tcPr>
            <w:tcW w:type="dxa" w:w="1338"/>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Start</w:t>
            </w:r>
          </w:p>
        </w:tc>
        <w:tc>
          <w:tcPr>
            <w:tcW w:type="dxa" w:w="1339"/>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End</w:t>
            </w:r>
          </w:p>
        </w:tc>
        <w:tc>
          <w:tcPr>
            <w:tcW w:type="dxa" w:w="1318"/>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Start</w:t>
            </w:r>
          </w:p>
        </w:tc>
        <w:tc>
          <w:tcPr>
            <w:tcW w:type="dxa" w:w="1331"/>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End</w:t>
            </w:r>
          </w:p>
        </w:tc>
        <w:tc>
          <w:tcPr>
            <w:tcW w:type="dxa" w:w="1315"/>
            <w:vMerge/>
            <w:tcBorders>
              <w:left w:color="auto" w:space="0" w:sz="4" w:val="single"/>
              <w:bottom w:color="auto" w:space="0" w:sz="8" w:val="single"/>
              <w:right w:color="auto" w:space="0" w:sz="4" w:val="single"/>
            </w:tcBorders>
            <w:vAlign w:val="center"/>
            <w:hideMark/>
          </w:tcPr>
          <w:p w:rsidP="00887EE8" w:rsidR="009E5213" w:rsidRDefault="009E5213" w:rsidRPr="0004062D">
            <w:pPr>
              <w:spacing w:after="0" w:line="240" w:lineRule="auto"/>
              <w:rPr>
                <w:rFonts w:eastAsia="Times New Roman"/>
                <w:lang w:eastAsia="en-GB"/>
              </w:rPr>
            </w:pPr>
          </w:p>
        </w:tc>
      </w:tr>
      <w:tr w:rsidR="008B6394" w:rsidRPr="0004062D" w:rsidTr="00597DD7">
        <w:trPr>
          <w:trHeight w:val="300"/>
          <w:jc w:val="center"/>
        </w:trPr>
        <w:tc>
          <w:tcPr>
            <w:tcW w:type="dxa" w:w="1313"/>
            <w:tcBorders>
              <w:top w:val="nil"/>
              <w:left w:color="auto" w:space="0" w:sz="8" w:val="single"/>
              <w:bottom w:color="000000" w:space="0" w:sz="8" w:val="single"/>
              <w:right w:color="auto" w:space="0" w:sz="4" w:val="single"/>
            </w:tcBorders>
            <w:shd w:color="auto" w:fill="auto" w:val="clear"/>
            <w:noWrap/>
            <w:vAlign w:val="center"/>
          </w:tcPr>
          <w:p w:rsidP="00A66273" w:rsidR="009E5213" w:rsidRDefault="00A877EE" w:rsidRPr="0004062D">
            <w:pPr>
              <w:spacing w:after="0" w:line="240" w:lineRule="auto"/>
              <w:rPr>
                <w:rFonts w:eastAsia="Times New Roman"/>
                <w:lang w:eastAsia="en-GB"/>
              </w:rPr>
            </w:pPr>
            <w:r>
              <w:rPr>
                <w:rFonts w:eastAsia="Times New Roman"/>
                <w:noProof/>
                <w:lang w:eastAsia="en-GB"/>
              </w:rPr>
              <w:t>02/03/2017</w:t>
            </w:r>
          </w:p>
        </w:tc>
        <w:tc>
          <w:tcPr>
            <w:tcW w:type="dxa" w:w="1288"/>
            <w:tcBorders>
              <w:top w:val="nil"/>
              <w:left w:val="nil"/>
              <w:bottom w:color="000000" w:space="0" w:sz="8" w:val="single"/>
              <w:right w:color="auto" w:space="0" w:sz="4" w:val="single"/>
            </w:tcBorders>
            <w:shd w:color="auto" w:fill="auto" w:val="clear"/>
            <w:noWrap/>
            <w:vAlign w:val="center"/>
          </w:tcPr>
          <w:p w:rsidP="00A66273" w:rsidR="009E5213" w:rsidRDefault="00A877EE" w:rsidRPr="0004062D">
            <w:pPr>
              <w:spacing w:after="0" w:line="240" w:lineRule="auto"/>
              <w:rPr>
                <w:rFonts w:eastAsia="Times New Roman"/>
                <w:lang w:eastAsia="en-GB"/>
              </w:rPr>
            </w:pPr>
            <w:r>
              <w:rPr>
                <w:rFonts w:eastAsia="Times New Roman"/>
                <w:noProof/>
                <w:lang w:eastAsia="en-GB"/>
              </w:rPr>
              <w:t>31/12/2024</w:t>
            </w:r>
          </w:p>
        </w:tc>
        <w:tc>
          <w:tcPr>
            <w:tcW w:type="dxa" w:w="1338"/>
            <w:tcBorders>
              <w:top w:val="nil"/>
              <w:left w:val="nil"/>
              <w:bottom w:color="000000" w:space="0" w:sz="8" w:val="single"/>
              <w:right w:color="auto" w:space="0" w:sz="4" w:val="single"/>
            </w:tcBorders>
            <w:shd w:color="auto" w:fill="auto" w:val="clear"/>
            <w:noWrap/>
            <w:vAlign w:val="center"/>
          </w:tcPr>
          <w:p w:rsidP="00A66273" w:rsidR="009E5213" w:rsidRDefault="00F82123" w:rsidRPr="00BC26B8">
            <w:pPr>
              <w:spacing w:after="0" w:line="240" w:lineRule="auto"/>
              <w:rPr>
                <w:rFonts w:eastAsia="Times New Roman"/>
                <w:lang w:eastAsia="en-GB"/>
              </w:rPr>
            </w:pPr>
            <w:r w:rsidR="008A130B">
              <w:rPr>
                <w:rFonts w:eastAsia="Times New Roman"/>
                <w:noProof/>
                <w:lang w:eastAsia="en-GB"/>
              </w:rPr>
              <w:t>02/03/2017</w:t>
            </w:r>
          </w:p>
        </w:tc>
        <w:tc>
          <w:tcPr>
            <w:tcW w:type="dxa" w:w="1339"/>
            <w:tcBorders>
              <w:top w:val="nil"/>
              <w:left w:val="nil"/>
              <w:bottom w:color="000000" w:space="0" w:sz="8" w:val="single"/>
              <w:right w:color="auto" w:space="0" w:sz="4" w:val="single"/>
            </w:tcBorders>
            <w:shd w:color="auto" w:fill="auto" w:val="clear"/>
            <w:noWrap/>
            <w:vAlign w:val="center"/>
          </w:tcPr>
          <w:p w:rsidP="00A66273" w:rsidR="009E5213" w:rsidRDefault="00F82123" w:rsidRPr="00BC26B8">
            <w:pPr>
              <w:spacing w:after="0" w:line="240" w:lineRule="auto"/>
              <w:rPr>
                <w:rFonts w:eastAsia="Times New Roman"/>
                <w:lang w:eastAsia="en-GB"/>
              </w:rPr>
            </w:pPr>
            <w:r>
              <w:rPr>
                <w:rFonts w:eastAsia="Times New Roman"/>
                <w:noProof/>
                <w:lang w:eastAsia="en-GB"/>
              </w:rPr>
              <w:t>30/06/2025</w:t>
            </w:r>
          </w:p>
        </w:tc>
        <w:tc>
          <w:tcPr>
            <w:tcW w:type="dxa" w:w="1318"/>
            <w:tcBorders>
              <w:top w:val="nil"/>
              <w:left w:val="nil"/>
              <w:bottom w:color="000000" w:space="0" w:sz="8" w:val="single"/>
              <w:right w:color="auto" w:space="0" w:sz="4" w:val="single"/>
            </w:tcBorders>
            <w:shd w:color="auto" w:fill="auto" w:val="clear"/>
            <w:noWrap/>
            <w:vAlign w:val="center"/>
          </w:tcPr>
          <w:p w:rsidP="001F5EB1" w:rsidR="009E5213" w:rsidRDefault="0002778D" w:rsidRPr="0004062D">
            <w:pPr>
              <w:spacing w:after="0" w:line="240" w:lineRule="auto"/>
              <w:rPr>
                <w:rFonts w:eastAsia="Times New Roman"/>
                <w:lang w:eastAsia="en-GB"/>
              </w:rPr>
            </w:pPr>
            <w:r>
              <w:rPr>
                <w:rFonts w:eastAsia="Times New Roman"/>
                <w:noProof/>
                <w:lang w:eastAsia="en-GB"/>
              </w:rPr>
              <w:t>02/03/2017</w:t>
            </w:r>
          </w:p>
        </w:tc>
        <w:tc>
          <w:tcPr>
            <w:tcW w:type="dxa" w:w="1331"/>
            <w:tcBorders>
              <w:top w:val="nil"/>
              <w:left w:val="nil"/>
              <w:bottom w:color="000000" w:space="0" w:sz="8" w:val="single"/>
              <w:right w:color="auto" w:space="0" w:sz="4" w:val="single"/>
            </w:tcBorders>
            <w:shd w:color="auto" w:fill="auto" w:val="clear"/>
            <w:noWrap/>
            <w:vAlign w:val="center"/>
          </w:tcPr>
          <w:p w:rsidP="001F5EB1" w:rsidR="009E5213" w:rsidRDefault="0002778D" w:rsidRPr="0004062D">
            <w:pPr>
              <w:spacing w:after="0" w:line="240" w:lineRule="auto"/>
              <w:rPr>
                <w:rFonts w:eastAsia="Times New Roman"/>
                <w:lang w:eastAsia="en-GB"/>
              </w:rPr>
            </w:pPr>
            <w:r>
              <w:rPr>
                <w:rFonts w:eastAsia="Times New Roman"/>
                <w:noProof/>
                <w:lang w:eastAsia="en-GB"/>
              </w:rPr>
              <w:t>30/06/2025</w:t>
            </w:r>
          </w:p>
        </w:tc>
        <w:tc>
          <w:tcPr>
            <w:tcW w:type="dxa" w:w="1315"/>
            <w:tcBorders>
              <w:top w:val="nil"/>
              <w:left w:val="nil"/>
              <w:bottom w:color="000000" w:space="0" w:sz="8" w:val="single"/>
              <w:right w:color="auto" w:space="0" w:sz="4" w:val="single"/>
            </w:tcBorders>
            <w:shd w:color="auto" w:fill="auto" w:val="clear"/>
            <w:noWrap/>
            <w:vAlign w:val="center"/>
          </w:tcPr>
          <w:p w:rsidP="005C32CB" w:rsidR="00E61275" w:rsidRDefault="005C32CB" w:rsidRPr="00393F18">
            <w:pPr>
              <w:spacing w:after="0" w:line="240" w:lineRule="auto"/>
              <w:jc w:val="center"/>
              <w:rPr>
                <w:rFonts w:eastAsia="Times New Roman"/>
                <w:lang w:eastAsia="en-GB"/>
              </w:rPr>
            </w:pPr>
            <w:r>
              <w:rPr>
                <w:rFonts w:eastAsia="Times New Roman"/>
                <w:noProof/>
                <w:lang w:eastAsia="en-GB"/>
              </w:rPr>
              <w:t>40.00</w:t>
            </w:r>
          </w:p>
        </w:tc>
      </w:tr>
      <w:tr w:rsidR="009E5213" w:rsidRPr="00127DD0" w:rsidTr="00FC63CA">
        <w:trPr>
          <w:trHeight w:val="300"/>
          <w:jc w:val="center"/>
        </w:trPr>
        <w:tc>
          <w:tcPr>
            <w:tcW w:type="dxa" w:w="9242"/>
            <w:gridSpan w:val="7"/>
            <w:tcBorders>
              <w:top w:color="000000" w:space="0" w:sz="8" w:val="single"/>
              <w:left w:color="auto" w:space="0" w:sz="8" w:val="single"/>
              <w:bottom w:color="000000" w:space="0" w:sz="8" w:val="single"/>
              <w:right w:color="000000" w:space="0" w:sz="8" w:val="single"/>
            </w:tcBorders>
            <w:shd w:color="auto" w:fill="auto" w:val="clear"/>
            <w:noWrap/>
            <w:vAlign w:val="bottom"/>
          </w:tcPr>
          <w:p w:rsidP="00887EE8" w:rsidR="009E5213" w:rsidRDefault="009E5213" w:rsidRPr="00127DD0">
            <w:pPr>
              <w:spacing w:after="0" w:line="240" w:lineRule="auto"/>
              <w:jc w:val="center"/>
              <w:rPr>
                <w:rStyle w:val="CommentReference"/>
                <w: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9E5213" w:rsidRPr="0004062D" w:rsidTr="00FC63CA">
        <w:trPr>
          <w:trHeight w:val="641"/>
          <w:jc w:val="center"/>
        </w:trPr>
        <w:tc>
          <w:tcPr>
            <w:tcW w:type="dxa" w:w="9242"/>
            <w:gridSpan w:val="7"/>
            <w:tcBorders>
              <w:top w:color="000000" w:space="0" w:sz="8" w:val="single"/>
              <w:left w:color="auto" w:space="0" w:sz="8" w:val="single"/>
              <w:bottom w:color="auto" w:space="0" w:sz="8" w:val="single"/>
              <w:right w:color="000000" w:space="0" w:sz="8" w:val="single"/>
            </w:tcBorders>
            <w:shd w:color="auto" w:fill="auto" w:val="clear"/>
            <w:noWrap/>
            <w:vAlign w:val="center"/>
          </w:tcPr>
          <w:p w:rsidP="001F5EB1" w:rsidR="009E5213" w:rsidRDefault="00EF34CA">
            <w:pPr>
              <w:spacing w:after="0" w:line="240" w:lineRule="auto"/>
              <w:rPr>
                <w:rStyle w:val="CommentReference"/>
              </w:rPr>
            </w:pPr>
            <w:r>
              <w:rPr>
                <w:rFonts w:eastAsia="Times New Roman"/>
                <w:noProof/>
                <w:lang w:eastAsia="en-GB"/>
              </w:rPr>
              <w:t>The methodology for calculation of overall technical progress of 40% is based on the weighted percentage technical progress of each activity.</w:t>
              <w:br/>
              <w:t xml:space="preserve">Within each activity a percentage number for technical progress is assigned to every milestone while a percentage number for technical progress is assigned to every activity within the Action. The percentage numbers for technical progress of the milestones and the activities are presented in Table 1, Annex 1.</w:t>
              <w:br/>
              <w:t xml:space="preserve"/>
              <w:br/>
              <w:t xml:space="preserve">The methodology has been chosen and applied in all previously submitted ASRs, as for projects of this kind the financial progress never really corresponds to technical progress.</w:t>
              <w:br/>
              <w:t xml:space="preserve">The Action´s cumulated technical progress including the planned technical progress is enclosed in Annex 2 and Annex 4.</w:t>
              <w:br/>
              <w:t xml:space="preserve"/>
            </w:r>
          </w:p>
        </w:tc>
      </w:tr>
    </w:tbl>
    <w:p w:rsidR="009E5213" w:rsidRDefault="009E5213"/>
    <w:p w:rsidR="00225F87" w:rsidRDefault="00225F87"/>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225F87" w:rsidRPr="00187B31" w:rsidTr="006530A0">
        <w:trPr>
          <w:trHeight w:val="264"/>
          <w:jc w:val="center"/>
        </w:trPr>
        <w:tc>
          <w:tcPr>
            <w:tcW w:type="dxa" w:w="9594"/>
            <w:shd w:color="auto" w:fill="99CCFF" w:val="clear"/>
            <w:tcMar>
              <w:top w:type="dxa" w:w="85"/>
              <w:bottom w:type="dxa" w:w="85"/>
            </w:tcMar>
          </w:tcPr>
          <w:p w:rsidP="00183D92" w:rsidR="00225F87" w:rsidRDefault="00225F87" w:rsidRPr="002B0D3F">
            <w:pPr>
              <w:keepNext/>
              <w:spacing w:after="120" w:before="120"/>
              <w:ind w:left="113"/>
              <w:rPr>
                <w:rFonts w:ascii="Verdana" w:hAnsi="Verdana"/>
                <w:b/>
                <w:spacing w:val="-10"/>
                <w:szCs w:val="24"/>
              </w:rPr>
            </w:pPr>
            <w:r w:rsidRPr="00187B31">
              <w:rPr>
                <w:rFonts w:ascii="Verdana" w:hAnsi="Verdana"/>
                <w:b/>
              </w:rPr>
              <w:br w:type="page"/>
            </w:r>
            <w:r w:rsidRPr="002B0D3F">
              <w:rPr>
                <w:rFonts w:ascii="Verdana" w:hAnsi="Verdana"/>
                <w:b/>
                <w:spacing w:val="-10"/>
                <w:szCs w:val="24"/>
              </w:rPr>
              <w:t xml:space="preserve">Overview of progress since </w:t>
            </w:r>
            <w:r>
              <w:rPr>
                <w:rFonts w:ascii="Verdana" w:hAnsi="Verdana"/>
                <w:b/>
                <w:spacing w:val="-10"/>
                <w:szCs w:val="24"/>
              </w:rPr>
              <w:t xml:space="preserve">the </w:t>
            </w:r>
            <w:r w:rsidRPr="002B0D3F">
              <w:rPr>
                <w:rFonts w:ascii="Verdana" w:hAnsi="Verdana"/>
                <w:b/>
                <w:spacing w:val="-10"/>
                <w:szCs w:val="24"/>
              </w:rPr>
              <w:t>start of the Action</w:t>
            </w:r>
          </w:p>
          <w:p w:rsidP="00183D92" w:rsidR="00225F87" w:rsidRDefault="00462537" w:rsidRPr="00187B31">
            <w:pPr>
              <w:keepNext/>
              <w:spacing w:after="120" w:before="120"/>
              <w:ind w:left="113"/>
              <w:rPr>
                <w:rFonts w:ascii="Verdana" w:hAnsi="Verdana"/>
                <w:b/>
                <w:spacing w:val="-10"/>
              </w:rPr>
            </w:pPr>
            <w:r w:rsidRPr="00462537">
              <w:rPr>
                <w:rFonts w:ascii="Verdana" w:hAnsi="Verdana"/>
                <w:i/>
                <w:spacing w:val="-10"/>
              </w:rPr>
              <w:t>The overview should include a description of the actual progress of the Action and per activity since the start of the Action until at the end of the previous reporting period, referring to the main issues, milestones and events that affected the progress.</w:t>
            </w:r>
          </w:p>
        </w:tc>
      </w:tr>
      <w:tr w:rsidR="00225F87" w:rsidRPr="00187B31" w:rsidTr="006530A0">
        <w:trPr>
          <w:trHeight w:val="3031"/>
          <w:jc w:val="center"/>
        </w:trPr>
        <w:tc>
          <w:tcPr>
            <w:tcW w:type="dxa" w:w="9594"/>
            <w:tcMar>
              <w:top w:type="dxa" w:w="85"/>
              <w:bottom w:type="dxa" w:w="85"/>
            </w:tcMar>
          </w:tcPr>
          <w:p w:rsidP="00887EE8" w:rsidR="00225F87" w:rsidRDefault="00705BBB" w:rsidRPr="00187B31">
            <w:pPr>
              <w:spacing w:after="120" w:before="120"/>
              <w:ind w:left="113"/>
              <w:rPr>
                <w:rFonts w:ascii="Verdana" w:hAnsi="Verdana"/>
                <w:spacing w:val="-10"/>
              </w:rPr>
            </w:pPr>
            <w:r>
              <w:rPr>
                <w:rFonts w:ascii="Verdana" w:hAnsi="Verdana"/>
                <w:noProof/>
                <w:spacing w:val="-10"/>
              </w:rPr>
              <w:t>Activity 1 - Public procurement, authorisation procedures and detailed design</w:t>
              <w:br/>
              <w:t xml:space="preserve">Milestone 2 - Public procurement procedure for a detailed design contractor published </w:t>
              <w:br/>
              <w:t xml:space="preserve">The Contract Notice was published on 20/01/2018 in the Official Journal of the EU (hereinafter referred to as “OJ”) and on 23/01/2018 in the Public Procurement Journal (hereinafter referred to as “PPJ”).</w:t>
              <w:br/>
              <w:t xml:space="preserve"/>
              <w:br/>
              <w:t xml:space="preserve">Milestone 3 - Contract signed for a design contractor</w:t>
              <w:br/>
              <w:t xml:space="preserve">Contract for a design contractor was signed on 15/10/2018. The Award Notice was published on 23/10/2018 in OJ and on 24/10/2018 in PPJ.</w:t>
              <w:br/>
              <w:t xml:space="preserve"/>
              <w:br/>
              <w:t xml:space="preserve">Milestone 4 - Start of the detailed design</w:t>
              <w:br/>
              <w:t xml:space="preserve">The Confirmation from the Beneficiary was sent to the Contractor on 17/10/2018. Based on the entry into force of the Contract on 18/10/2018, the Contractor commenced the works by a kick-off working meeting on 15/11/2018. The subject of the meeting was to clarify the conceptual design of the GSM-R technology and the related communication systems.</w:t>
              <w:br/>
              <w:t xml:space="preserve">Subsequently, the following activities were carried out by the contractor:</w:t>
              <w:br/>
              <w:t xml:space="preserve">•</w:t>
              <w:tab/>
              <w:t xml:space="preserve">collection and preparation of maps and cadastral maps for radio planning and design activities;</w:t>
              <w:br/>
              <w:t xml:space="preserve">•</w:t>
              <w:tab/>
              <w:t xml:space="preserve">acquiring the documents of an existing state;</w:t>
              <w:br/>
              <w:t xml:space="preserve">•</w:t>
              <w:tab/>
              <w:t xml:space="preserve">summarizing and studying documents from administrators that were sent as a result of fulfilling the tasks of kick-off working meeting held on 15/11/2018;</w:t>
              <w:br/>
              <w:t xml:space="preserve">•</w:t>
              <w:tab/>
              <w:t xml:space="preserve">preparation of the merged documentation of the investment intention and documentation for the territorial decision (hereinafter referred to as "DSZ/DUR documentation");</w:t>
              <w:br/>
              <w:t xml:space="preserve">•</w:t>
              <w:tab/>
              <w:t xml:space="preserve">submission of the processed DSZ/DUR documentation, on the basis of which a protocol on state expertise was issued on 10/12/2019;</w:t>
              <w:br/>
              <w:t xml:space="preserve">•</w:t>
              <w:tab/>
              <w:t xml:space="preserve">ensuring state expertise;</w:t>
              <w:br/>
              <w:t xml:space="preserve">•</w:t>
              <w:tab/>
              <w:t xml:space="preserve">completion of the adequate assessment of the project's impact on the Natura 2000 site;</w:t>
              <w:br/>
              <w:t xml:space="preserve">•</w:t>
              <w:tab/>
              <w:t xml:space="preserve">the following surveys were carried out: corrosion survey, planimetric and height survey, survey of engineering networks, engineering – geological survey, dendrological survey.</w:t>
              <w:br/>
              <w:t xml:space="preserve"/>
              <w:br/>
              <w:t xml:space="preserve">Milestone 5 - Territorial decision and State expertise issued</w:t>
              <w:br/>
              <w:t xml:space="preserve">The DSZ/DUR documentation was completed and was the basis for the protocol on state expertise issued on 10/12/2019.</w:t>
              <w:br/>
              <w:t xml:space="preserve">The construction was divided into 2 sections: section A (Žilina – Košice) and section B (Košice - Čierna nad Tisou).</w:t>
              <w:br/>
              <w:t xml:space="preserve">In January 2020, oral hearings on land proceedings were held and the DSZ/DUR documentation was discussed with competent authorities and organizations.</w:t>
              <w:br/>
              <w:t xml:space="preserve">On 19/02/2020, the basic archaeological survey for both sections was completed.</w:t>
              <w:br/>
              <w:t xml:space="preserve">Section A (Žilina – Košice):</w:t>
              <w:br/>
              <w:t xml:space="preserve">-</w:t>
              <w:tab/>
              <w:t xml:space="preserve">The territorial decision (zoning permit) for section A was issued on 17/03/2020 entered into force on 27/05/2020 (see Annex 6.2).</w:t>
              <w:br/>
              <w:t xml:space="preserve">-</w:t>
              <w:tab/>
              <w:t xml:space="preserve">Expert opinion issued on 28/07/2020 by Department of Expertise of the Railways of the Slovak Republic (hereinafter referred to as “ŽSR”)</w:t>
              <w:br/>
              <w:t xml:space="preserve">-</w:t>
              <w:tab/>
              <w:t xml:space="preserve">On 06/10/2020 the designer received the approval decision of the Ministry of Transport of the Slovak Republic (hereinafter referred to as “MoT SR”) for DSZ/DUR documentation and the design work on documentation for building permit (hereinafter referred to as "DSP documentation") began. </w:t>
              <w:br/>
              <w:t xml:space="preserve">-</w:t>
              <w:tab/>
              <w:t xml:space="preserve">On 04/12/2020 an survey additional geodetic survey was submitted in accordance with the contract</w:t>
              <w:br/>
              <w:t xml:space="preserve">Section B (Košice - Čierna nad Tisou):</w:t>
              <w:br/>
              <w:t xml:space="preserve">-</w:t>
              <w:tab/>
              <w:t xml:space="preserve">The territorial decision for section B was issued on 20/01/2020 and entered into force on 26/02/2020 (see Annex 6.1).</w:t>
              <w:br/>
              <w:t xml:space="preserve">-</w:t>
              <w:tab/>
              <w:t xml:space="preserve">Expert opinion issued on 29/04/2020 by Department of Expertise of ŽSR</w:t>
              <w:br/>
              <w:t xml:space="preserve">-</w:t>
              <w:tab/>
              <w:t xml:space="preserve">On 25/06/2020 the designer received the approval decision of the MoTC SR for DSZ/DUR documentation and the design work on DSP documentation began</w:t>
              <w:br/>
              <w:t xml:space="preserve">-</w:t>
              <w:tab/>
              <w:t xml:space="preserve">On 12/10/2020 an survey additional geodetic survey was submitted in accordance with the contract</w:t>
              <w:br/>
              <w:t xml:space="preserve">-</w:t>
              <w:tab/>
              <w:t xml:space="preserve">On 28/10/2020, in accordance with the contract, the DSP documentation was submitted to ŽSR</w:t>
              <w:br/>
              <w:t xml:space="preserve">-</w:t>
              <w:tab/>
              <w:t xml:space="preserve">November – December 2020, the approval process of the DSP documentation took place at ŽSR resulting in elaboration of the expert opinion</w:t>
              <w:br/>
              <w:t xml:space="preserve">-</w:t>
              <w:tab/>
              <w:t xml:space="preserve">On 14/12/2020 the DSP documentation was submitted for approval to the MoTC SR</w:t>
              <w:br/>
              <w:t xml:space="preserve"/>
              <w:br/>
              <w:t xml:space="preserve">Milestone 6 - Public procurement procedure for construction works published (29/07/2022, in GA 30/11/2020)</w:t>
              <w:br/>
              <w:t xml:space="preserve">28/05/2021 - establishment of a working group for the processing of tender documents </w:t>
              <w:br/>
              <w:t xml:space="preserve">31/05/2021 to 19/07/2021 - drafting of tender documents</w:t>
              <w:br/>
              <w:t xml:space="preserve">20/07/2021 – sending the draft tender documents for comments to the members of the working group with a deadline for comments by 30/07/2021</w:t>
              <w:br/>
              <w:t xml:space="preserve">31/07/2021 to 31/12/2021 – these actions have been performed: </w:t>
              <w:br/>
              <w:t xml:space="preserve">-</w:t>
              <w:tab/>
              <w:t xml:space="preserve">addressing the comments on the draft tender documents (when cooperation with the design contractor was necessary); </w:t>
              <w:br/>
              <w:t xml:space="preserve">-</w:t>
              <w:tab/>
              <w:t xml:space="preserve">finalization of the justification for not dividing the subject of the contract into parts;</w:t>
              <w:br/>
              <w:t xml:space="preserve">-</w:t>
              <w:tab/>
              <w:t xml:space="preserve">for one entity, it was necessary to assess whether there was a conflict of interest that could distort or restrict competition or violate the principles of transparency and equal treatment (the result: no conflict of interest was identified);</w:t>
              <w:br/>
              <w:t xml:space="preserve">-</w:t>
              <w:tab/>
              <w:t xml:space="preserve">ensuring cooperation from the supplier of the technologies implemented so far due to the adaptation and modification of existing technologies in order to make the system compatible with each successful bidder.</w:t>
              <w:br/>
              <w:t xml:space="preserve">05/10/2021 – sending the draft tender documents for the statement of the company that provides technical assistance to Beneficiary in the field of public procurement - the task was to assess the draft tender documents in terms of compliance with Act no. 343/2015 Coll. on Public Procurement and on Amendments to Certain Acts, as amended</w:t>
              <w:br/>
              <w:t xml:space="preserve">10/11/2021 to 09/12/2021 - addressing technical assistance comments on the draft tender documents</w:t>
              <w:br/>
              <w:t xml:space="preserve">03/01/2022 – 25/07/2022 – completion of the tender documents draft </w:t>
              <w:br/>
              <w:t xml:space="preserve">-</w:t>
              <w:tab/>
              <w:t xml:space="preserve">Co-operation with the supplier of technologies that have been implemented in order to adapt and modificate existing technologies for mutual compability of the system for any successful tenderer</w:t>
              <w:br/>
              <w:t xml:space="preserve">-</w:t>
              <w:tab/>
              <w:t xml:space="preserve">Changes introduced by the amendment to the Act on Public Procurement (Act No.  395/2021 Coll. with effect from 31/03/2022) </w:t>
              <w:br/>
              <w:t xml:space="preserve">-</w:t>
              <w:tab/>
              <w:t xml:space="preserve">Updating the estimated value of the subject of the contract to the current price level I.Q 2022</w:t>
              <w:br/>
              <w:t xml:space="preserve">-</w:t>
              <w:tab/>
              <w:t xml:space="preserve">Coordination with the construction „Modernizácia železničnej trate Žilina - Košice, úsek trate Poprad Tatry (mimo) - Krompachy. Section: A.1 Poprad Tatry (mimo) – Vydrník“, that will run simultaneously on the same railway section of the track </w:t>
              <w:br/>
              <w:t xml:space="preserve">03/01/2022 to 17/05/2022 – evaluation of the project (assesment of its effectiveness) – communication took place between ŽSR (in cooperation with the MoT SR and  Ministry of Finance of the Slovak Republic, Value for Money Department (hereinafter referred to as “MF SR (ÚHP)”); due to the expertise questions of the MF SR (ÚHP) it was necessary to request documents as well as a statement from the author of the design documentation, especially needed to implement a recommentation of the MF SR (ÚHP) which was to devide the project into two separate units – (i) construction works on the track and (ii) modification of the existing switchboard GSM-R</w:t>
              <w:br/>
              <w:t xml:space="preserve">18/05/2022 – Release of document “Value for Money of the Project - Implementation of GSM-R into ŽSR infrastucture, section of Varín - Košice - Čierna nad Tisou state border” </w:t>
              <w:br/>
              <w:t xml:space="preserve">30/03/2022 - Information on the intention to announce Public Procurement was approved by the General Secretary of the service office of the MoT SR </w:t>
              <w:br/>
              <w:t xml:space="preserve">30/03/2022 – Request for announcing Public Procurement was approved by the General Director of the ŽSR  </w:t>
              <w:br/>
              <w:t xml:space="preserve">07/06/2022 – Request sent to the MoT SR for a decision if it is possible to announce the Public Procurement even if not respecting the recommendation of the MF SR (ÚHP) to divide the Project into two separate units  - (i) and (ii)</w:t>
              <w:br/>
              <w:t xml:space="preserve">20/07/2022 – Delivery of the response from the MoT SR - the Public Proucrement is to be announced as soon as possible in view of the high risks of material and time coordination of two public procurements. …….   </w:t>
              <w:br/>
              <w:t xml:space="preserve">29/07/2022 - publication of the public procurement notice in the OJ:</w:t>
              <w:br/>
              <w:t xml:space="preserve">https://ted.europa.eu/udl?uri=TED:NOTICE:415973-2022:TEXT:SK:HTML&amp;src=0</w:t>
              <w:br/>
              <w:t xml:space="preserve">01/08/2022 - publication of the public procurement notice in the PPJ:</w:t>
              <w:br/>
              <w:t xml:space="preserve"><![CDATA[https://www.uvo.gov.sk/vestnik/oznamenie/detail/570757?page=1&limit=20&sort=datumZverejnenia&sort-dir=DESC&ext=0&cisloOznamenia=&text=&year=0&dzOd=&dzDo=&cvestnik=&doznamenia=-1&dzakazky=-1&dpostupu=-1&mdodania=&kcpv=&opb=&szfeu=&flimit=-1&nobstaravatel=&nzakazky=]]></w:t>
              <w:br/>
              <w:t xml:space="preserve">Milestone 7 - Public procurement procedure for a construction works supervision published (25/11/2022, in GA 31/12/2020)</w:t>
              <w:br/>
              <w:t xml:space="preserve">24/03/2022 – Establishment of a working group for the processing of tender documents</w:t>
              <w:br/>
              <w:t xml:space="preserve">25/03/2022 to 04/09/2022 – Processing of the draft tender documents</w:t>
              <w:br/>
              <w:t xml:space="preserve">05/09/2022 – Sending the draft tender documents for comments to members of the working group with a deadline for comments by 14/09/2022</w:t>
              <w:br/>
              <w:t xml:space="preserve">16/09/2022 to 08/11/2022 – Incorporation of comments and subsequent finalization of the draft tender documents</w:t>
              <w:br/>
              <w:t xml:space="preserve">28/09/2022 - Information about the intention to announce the Public Procurement was approved by the General Secretary of the service office of the MoT SR</w:t>
              <w:br/>
              <w:t xml:space="preserve">15/11/2022 - Request for consent to declare the Public Procurement was approved by the General Director of ŽSR</w:t>
              <w:br/>
              <w:t xml:space="preserve">25/11/2022 - publication of the public procurement notice in the OJ:</w:t>
              <w:br/>
              <w:t xml:space="preserve">https://ted.europa.eu/udl?uri=TED:NOTICE:654883-2022:TEXT:SK:HTML&amp;src=0</w:t>
              <w:br/>
              <w:t xml:space="preserve">28/11/2022 - publication of the public procurement notice in the PPJ:</w:t>
              <w:br/>
              <w:t xml:space="preserve"><![CDATA[https://www.uvo.gov.sk/vestnik/oznamenie/detail/584894?page=1&limit=20&sort=datumZverejnenia&sort-dir=DESC&ext=0&cisloOznamenia=&text=la%C5%BEov%C3%A1&year=0&dzOd=&dzDo=&cvestnik=&doznamenia=-1&dzakazky=-1&dpostupu=-1&mdodania=&kcpv=&opb=&szfeu=&flimit=-1&nobstaravatel=&ndodavatel=&nzakazky=]]></w:t>
              <w:br/>
              <w:t xml:space="preserve">Milestone 8 - Contract signed for construction works (22/03/2023, in GA 22/03/2023)</w:t>
              <w:br/>
              <w:t xml:space="preserve">17/08/2022 to 07/09/2022 – Explaining information needed to prepare the offer and to prove that the qualification prerequisites have been met</w:t>
              <w:br/>
              <w:t xml:space="preserve">14/09/2022 – opening of offers (1 offer was delivered)</w:t>
              <w:br/>
              <w:t xml:space="preserve">14/09/2022 – 01/12/2022 – the tender offers evaluation commission evaluated the submitted offers in terms of meeting the requirements for the subject of the contract  in the tender specifications and in the contract notice and subsequently in terms of meeting the qualification requirements            </w:t>
              <w:br/>
              <w:t xml:space="preserve">02/12/2022 – Sending information about the result of the tender evaluation to the successful tenderer and publishing it in the contract profile on the website of the Public Procurement Office (hereinafter referred to as “PPO”)         </w:t>
              <w:br/>
              <w:t xml:space="preserve">09/12/2022 – ŽSR invited the successful tenderer for cooperation prior signing the contract          </w:t>
              <w:br/>
              <w:t xml:space="preserve">22/12/2022 – the successful tenderer submitted documents and a signed draft contract</w:t>
              <w:br/>
              <w:t xml:space="preserve">27/12/2022 – ŽSR requested approval from the MoT SR to conclude the contract</w:t>
              <w:br/>
              <w:t xml:space="preserve">28/12/2022 – MoT SR sent approval for the conclusion of the contract</w:t>
              <w:br/>
              <w:t xml:space="preserve">02/01/23 - 08/02/2023 – preparation of documentation for project evaluation before the conclusion of the contract by MF SR (ÚHP), as the contract price exceeded 40 million Eur (incl. VAT) </w:t>
              <w:br/>
              <w:t xml:space="preserve">09/02/2023 – documents were sent to MF SR (ÚHP). The docouments included information that on the ŽSR website in the section on track modernization/ feasibility studies  – update, section Žilina – Košice – Čierna nad Tisou št. hr. (project “Implementation GSM-R into the ŽSR network, section Varín – Košice – Čierna nad Tisou state border”) information on the contract price after the tendering process was published in addition to the previous documentation</w:t>
              <w:br/>
              <w:t xml:space="preserve">01/03/2023 – MF SR (ÚHP) announced that they have published a positive evaluation of the project </w:t>
              <w:br/>
              <w:t xml:space="preserve">https://www.mfsr.sk/files/archiv/19/Hodnotenie_GSM-R_Varin-KE-CnT_20230301.pdf</w:t>
              <w:br/>
              <w:t xml:space="preserve">02/03/2023 – the contact was submitted for approval and signing by the Director – General of ŽSR, following approval by six managers of relevant departments </w:t>
              <w:br/>
              <w:t xml:space="preserve">22/03/2023 – the contract for construction works was concluded following the assessment of the project by MF SR (ÚHP) ( https://www.crz.gov.sk/zmluva/7664523/ )</w:t>
              <w:br/>
              <w:t xml:space="preserve"/>
              <w:br/>
              <w:t xml:space="preserve">Award Notice published</w:t>
              <w:br/>
              <w:t xml:space="preserve">-</w:t>
              <w:tab/>
              <w:t xml:space="preserve">OJ: https://ted.europa.eu/sk/notice/-/detail/206661-2023</w:t>
              <w:br/>
              <w:t xml:space="preserve">-</w:t>
              <w:tab/>
              <w:t xml:space="preserve">PPJ: https://www.uvo.gov.sk/vestnik-a-registre/vestnik/oznamenie/detail/601454</w:t>
              <w:br/>
              <w:t xml:space="preserve"/>
              <w:br/>
              <w:t xml:space="preserve">Milestone 9 - Contract signed for external project management and audit support (07/07/2020 and 07/07/2022, in GA 07/07/2020)</w:t>
              <w:br/>
              <w:t xml:space="preserve">The contract concluded on 07/07/2020 concerns the provision of audit services to certify 2019 expenditure for this action, as for 2019 expenditure a "certificate on the financial statements" issued by a approved auditor had to be attached to the request for interim payment interim.</w:t>
              <w:br/>
              <w:t xml:space="preserve">Another contract concerning the provision of audit services to certify 2020 and 2021 expenditure for this action was concluded on 07/07/2022. The certificate on the financial statements issued by a approved auditor was attached to the request for interim payment interim in August 2022.</w:t>
              <w:br/>
              <w:t xml:space="preserve">The following steps were taken before signing the contract: </w:t>
              <w:br/>
              <w:t xml:space="preserve">09/03/2022 – Establishment of a working group for the provision of services on the subject “Auditor services for the certification of costs until 31.08.2022 which was devided into five (5) parts; for the action labeled as “Part 3” the costs were certified for period from 01.01.2020 to 31.12.2021”.      </w:t>
              <w:br/>
              <w:t xml:space="preserve">10/03/2022 to 09/05/2022 –  processing of documents for public procurement (call for tenders, including draft contract)           </w:t>
              <w:br/>
              <w:t xml:space="preserve">10/05/2022 – signing of documents by an authorized person for ŽSR            </w:t>
              <w:br/>
              <w:t xml:space="preserve">13/05/2022 – sending documents to 15 economic entities eligible for the provision of the required service (e.g. auditor services) through the Electronic Public Procurement Information System (hereinafter referred to as “IS EVO”) platform; in this case, this action is considered to be a publication of a contract notice (it is a low-value contract, which, due to the financial limit, was not even published in the PPJ)               </w:t>
              <w:br/>
              <w:t xml:space="preserve">25/05/2022 -  opening of tender offers (3 offers for Part 3), evaluation of offers based on the criteria for tender evaluation and determination of order of offers. The commission examined only an offfer placed first in the order.             </w:t>
              <w:br/>
              <w:t xml:space="preserve">25/05/2022 to 07/06/2022 -  the process for tender offers evaluation was underway</w:t>
              <w:br/>
              <w:t xml:space="preserve">07/06/2022 – a request for cooperation on signing the contract was sent to the successful tenderer (deadline as soon as possible)          </w:t>
              <w:br/>
              <w:t xml:space="preserve">15/06/2022 – delivery of documents and a signed contract  draft</w:t>
              <w:br/>
              <w:t xml:space="preserve">07/07/2022 - Conclusion of the contract ( https://www.crz.gov.sk/zmluva/6664288/ )</w:t>
              <w:br/>
              <w:t xml:space="preserve">Milestone 10 – Contract signed for construction works supervision (03/07/2023, in GA 03/07/2023)</w:t>
              <w:br/>
              <w:t xml:space="preserve"/>
              <w:br/>
              <w:t xml:space="preserve">06/04/2023 – Information on bid evaluation was sent to applicants whose bids were evaluated and published on the website of the Public Procurement Office</w:t>
              <w:br/>
              <w:t xml:space="preserve"/>
              <w:br/>
              <w:t xml:space="preserve">https://www.uvo.gov.sk/vyhladavanie/vyhladavanie-dokumentov/detail/3291668?cHash=d703c4aa2ba33ced15542457837a8b0f</w:t>
              <w:br/>
              <w:t xml:space="preserve"/>
              <w:br/>
              <w:t xml:space="preserve">17/04/2023 - Receipt of objections to the evaluation of bids from the unsuccessful bidder - the objection procedure began with the receipt of objections</w:t>
              <w:br/>
              <w:t xml:space="preserve">24/04/2023 - Receipt of the opinion on the objections together with the complete documentation in original from the Public Procurement Office, which decides on the objections, whether the objected action had or could have had an impact on the outcome of the procurement</w:t>
              <w:br/>
              <w:t xml:space="preserve">25/05/2024 – The decision in the proceedings came into force. The objections were dismissed. </w:t>
              <w:br/>
              <w:t xml:space="preserve">29/05/2023 – Pre–contractual actions – sending a request to submit a contract and a declaration for the purpose of assessing the contractual partner to the successful bidder with a deadline according to the competition documents within 10 working days from the date of receipt of this request</w:t>
              <w:br/>
              <w:t xml:space="preserve">19/06/2023 – ŽSR requested the MoT SR´s approval to conclude the contract</w:t>
              <w:br/>
              <w:t xml:space="preserve">20/06/2023 – Delivery of the signed contract and documents to the successful bidders</w:t>
              <w:br/>
              <w:t xml:space="preserve">21/06/2023 – MoT SR approved conclusion of the contract</w:t>
              <w:br/>
              <w:t xml:space="preserve">22/06/2023 – The contact was submitted for approval and signing by the Director – General of ŽSR, following approval by six managers of relevant departments </w:t>
              <w:br/>
              <w:t xml:space="preserve">03/07/2023 - The Contract for Construction Supervision was signed </w:t>
              <w:br/>
              <w:t xml:space="preserve">Award notice published: </w:t>
              <w:br/>
              <w:t xml:space="preserve">-</w:t>
              <w:tab/>
              <w:t xml:space="preserve">OJ: https://ted.europa.eu/sk/notice/-/detail/451216-2023</w:t>
              <w:br/>
              <w:t xml:space="preserve">-</w:t>
              <w:tab/>
              <w:t xml:space="preserve">PPJ: https://www.uvo.gov.sk/vestnik-a-registre/vestnik/oznamenie/detail/612745</w:t>
              <w:br/>
              <w:t xml:space="preserve"/>
              <w:br/>
              <w:t xml:space="preserve">Contract for construction works supervision (Central contract register):</w:t>
              <w:br/>
              <w:t xml:space="preserve">https://www.crz.gov.sk/zmluva/8060967/</w:t>
              <w:br/>
              <w:t xml:space="preserve"/>
              <w:br/>
              <w:t xml:space="preserve">Milestone 11 – Contract signed for temporary billboards (21/08/2023, in GA 21/08/2023)     </w:t>
              <w:br/>
              <w:t xml:space="preserve"/>
              <w:br/>
              <w:t xml:space="preserve">The selection of the supplier for the information board was conducted as a low-value procurement according to Slovak legislation § 117 of Act No. 343/2015 Coll. since its estimated value did not exceed 70,000 Eur excluding VAT. In such procurement, neither a procurement notice (invitation to submit offers) nor the outcome of the procurement is published through a notice in the Public Procurement Journal official journal (national Journal). </w:t>
              <w:br/>
              <w:t xml:space="preserve">The call to submit offers was addressed to entities eligible to supply the required subject of the procurement (drafting of graphic designs, production, printing, transport, and installation of boards at designated locations) and registered in the Electronic Public Procurement Information System. Communication within the relevant procurement was conducted through this system.</w:t>
              <w:br/>
              <w:t xml:space="preserve">This procurement was divided into 11 sections as it involved publicity for projects financed from the Connecting Europe Facility (CEF) - transport infrastructure or the Operational Programme Integrated Infrastructure (OPII) during or after the completion of projects. A bidder could submit an offer covering one or more sections or all 11 sections, i.e., the entire subject of the procurement.</w:t>
              <w:br/>
              <w:t xml:space="preserve">For Part 2, a Contract for Works No. 2023_02 (Annex No. 11) was concluded on August 21, 2023, for the project "Implementation of GSM-R into the ŽSR network, section Varín - Košice - Čierna nad Tisou state border."</w:t>
              <w:br/>
              <w:t xml:space="preserve">Milestone 12 – Detailed design completed and approved (29/10/2021, in GA 29/10/2021)</w:t>
              <w:br/>
              <w:t xml:space="preserve">The documentation for construction execution (detailed design) for section B was completed and approved in June 2021 and delivered to Beneficiary on 01/07/2021 (see Annex 10.1).  The detailed design for section A was delivered to Beneficiary on 29/10/2021 (see Annex 10.2).</w:t>
              <w:br/>
              <w:t xml:space="preserve"/>
              <w:br/>
              <w:t xml:space="preserve">Activity 2 – Construction works and author supervision</w:t>
              <w:br/>
              <w:t xml:space="preserve">Milestone 14 – Start of the Construction works supervision (24/07/2023, in GA 05/07/2023)</w:t>
              <w:br/>
              <w:t xml:space="preserve">- Based on the decision of ŽSR, internal construction supervision was entrusted with the Authority for Construction by ŽSR, and from May 9, 2023, it carried out activities related to construction supervision until July 24, 2023.</w:t>
              <w:br/>
              <w:t xml:space="preserve">- From July 24, 2023, external construction supervision was entrusted with the Authority for Construction to the company DIPRO Consult, s.r.o., which seamlessly continued the activities of internal construction supervision from ŽSR. The construction supervision is ensured by the permanent presence of construction supervision on the site, and the members of the construction supervision team are present during the execution of the Contractor's works and participate together in all important meetings related to the construction of the project.</w:t>
              <w:br/>
              <w:t xml:space="preserve">Confirmation from the Beneficiary – Annex No. 12 – “Menovací dekrét” – Decree of appointment, dated 24/07/2023</w:t>
              <w:br/>
              <w:t xml:space="preserve"/>
              <w:br/>
              <w:t xml:space="preserve">Milestone 15 – First interim supervision report on construction works completed (15/01/2024, in GA 14/01/2024)</w:t>
              <w:br/>
              <w:t xml:space="preserve">The first interim report is devided into 2 parts – for period july – september 2023 (Annex No. 13.1) and october – december (Annex No. 13.2).</w:t>
              <w:br/>
              <w:t xml:space="preserve">The report was sent to ŽSR on 15/01/2024.</w:t>
              <w:br/>
              <w:t xml:space="preserve"/>
              <w:br/>
              <w:t xml:space="preserve">Activity 3 – Construction works</w:t>
              <w:br/>
              <w:t xml:space="preserve">Milestone 20 – Start of the construction works  on the Varín – Košice – Čierna nad Tisou section (12/04/2023, in GA 12/04/2023)</w:t>
              <w:br/>
              <w:t xml:space="preserve">The construction of the project commenced on April 12, 2023, with the handover of the construction site to the Contractor.</w:t>
              <w:br/>
              <w:t xml:space="preserve">- The construction of GSM-R entails works along a track length of approximately 430 km without interruption.</w:t>
              <w:br/>
              <w:t xml:space="preserve">- Construction activities include:</w:t>
              <w:br/>
              <w:t xml:space="preserve">    - Construction of antenna towers with technological containers,</w:t>
              <w:br/>
              <w:t xml:space="preserve">    - Installation of overhead optical cabling (laying optical cable above the railway track on traction supports),</w:t>
              <w:br/>
              <w:t xml:space="preserve">    - Installation of local optical cabling (laying cable in excavations alongside the railway track and laying cable),</w:t>
              <w:br/>
              <w:t xml:space="preserve">    - Replacement of transformers in high-voltage transformer stations,</w:t>
              <w:br/>
              <w:t xml:space="preserve">    - Establishment of connection points – low-voltage connections,</w:t>
              <w:br/>
              <w:t xml:space="preserve">    - Implementation of ALPHA connection systems in station buildings and traffic offices,</w:t>
              <w:br/>
              <w:t xml:space="preserve">    - Site preparation – clearing the route of overgrown trees and performing tree clearing.</w:t>
              <w:br/>
              <w:t xml:space="preserve">At the beginning of the construction, the Contractor faced issues regarding securing track closures in accordance with the Work Execution Plan, which have been resolved. Currently, the construction is progressing in line with the new plan, with an anticipated completion delay of approximately 2 months compared to the original timeline.</w:t>
              <w:br/>
              <w:t xml:space="preserve">Confirmation from the Beneficiary – Annex No. 14 – Takeover of the construction site</w:t>
              <w:br/>
              <w:t xml:space="preserve"/>
              <w:br/>
              <w:t xml:space="preserve">Activity 4 - Project management and communication</w:t>
              <w:br/>
              <w:t xml:space="preserve">The information on Action is published on the official website of the Slovak Railways and is updated regularly four times a year – at the end of March, June, September and December.</w:t>
              <w:br/>
              <w:t xml:space="preserve"/>
              <w:br/>
              <w:t xml:space="preserve">Milestone 26 - Communication plan approved (29/01/2021, in GA 01/01/2021)</w:t>
              <w:br/>
              <w:t xml:space="preserve">Activities to develop the draft communication plan defining the general outline and the main issues were undertaken in October 2019.</w:t>
              <w:br/>
              <w:t xml:space="preserve">The copy of Communication plan and the acceptance letter of beneficiary are attached in Annex 7.</w:t>
              <w:br/>
              <w:t xml:space="preserve"/>
              <w:br/>
              <w:t xml:space="preserve">As part of this activity, ŽSR used services of external consultant for the provision of audit services for the certification of expenditures for 2019, in accordance with the contract No. O220-74/2020 dated 07/07/2020.</w:t>
              <w:br/>
              <w:t xml:space="preserve">In 2022 ŽSR used services of external consultant for the provision of audit services for the certification of expenditures for 2020 and 2021, in accordance with the contract No. CEF/1352/768/2022 dated 07/07/2022.</w:t>
              <w:br/>
              <w:t xml:space="preserve">(The more detailed information on the contract is provided in section 5.2.)</w:t>
              <w:br/>
              <w:t xml:space="preserve"/>
              <w:br/>
              <w:t xml:space="preserve">The updated financial plan is attached in Annex 2.</w:t>
              <w:br/>
              <w:t xml:space="preserve"/>
            </w:r>
          </w:p>
        </w:tc>
      </w:tr>
    </w:tbl>
    <w:p w:rsidR="000C4B70" w:rsidRDefault="000C4B70">
      <w:pPr>
        <w:spacing w:after="0" w:line="240" w:lineRule="auto"/>
      </w:pPr>
      <w:r>
        <w:br w:type="page"/>
      </w:r>
    </w:p>
    <w:p w:rsidP="00887EE8" w:rsidR="005E6BC3" w:rsidRDefault="005E6BC3">
      <w:pPr>
        <w:spacing w:after="120" w:before="120"/>
        <w:ind w:left="113"/>
        <w:rPr>
          <w:rFonts w:ascii="Verdana" w:hAnsi="Verdana"/>
          <w:b/>
          <w:spacing w:val="-10"/>
        </w:rPr>
        <w:sectPr w:rsidR="005E6BC3" w:rsidSect="00012B21">
          <w:headerReference r:id="rId9" w:type="default"/>
          <w:footerReference r:id="rId10" w:type="default"/>
          <w:pgSz w:h="16838" w:w="11906"/>
          <w:pgMar w:bottom="1440" w:footer="709" w:gutter="0" w:header="709" w:left="1440" w:right="1440" w:top="737"/>
          <w:cols w:space="708"/>
          <w:titlePg/>
          <w:docGrid w:linePitch="360"/>
        </w:sectPr>
      </w:pPr>
    </w:p>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14877"/>
      </w:tblGrid>
      <w:tr w:rsidR="000C4B70" w:rsidRPr="00187B31" w:rsidTr="000C4B70">
        <w:trPr>
          <w:trHeight w:val="408"/>
          <w:jc w:val="center"/>
        </w:trPr>
        <w:tc>
          <w:tcPr>
            <w:tcW w:type="dxa" w:w="9594"/>
            <w:shd w:color="auto" w:fill="99CCFF" w:val="clear"/>
          </w:tcPr>
          <w:p w:rsidP="00887EE8" w:rsidR="000C4B70" w:rsidRDefault="000C4B70" w:rsidRPr="00187B31">
            <w:pPr>
              <w:spacing w:after="120" w:before="120"/>
              <w:ind w:left="113"/>
              <w:rPr>
                <w:rFonts w:ascii="Verdana" w:hAnsi="Verdana"/>
                <w:b/>
                <w:spacing w:val="-10"/>
              </w:rPr>
            </w:pPr>
            <w:r w:rsidRPr="00187B31">
              <w:rPr>
                <w:rFonts w:ascii="Verdana" w:hAnsi="Verdana"/>
                <w:b/>
                <w:spacing w:val="-10"/>
              </w:rPr>
              <w:lastRenderedPageBreak/>
              <w:t>2</w:t>
            </w:r>
            <w:r>
              <w:rPr>
                <w:rFonts w:ascii="Verdana" w:hAnsi="Verdana"/>
                <w:b/>
                <w:spacing w:val="-10"/>
              </w:rPr>
              <w:t>.2</w:t>
            </w:r>
            <w:r w:rsidRPr="00187B31">
              <w:rPr>
                <w:rFonts w:ascii="Verdana" w:hAnsi="Verdana"/>
                <w:b/>
                <w:spacing w:val="-10"/>
              </w:rPr>
              <w:t xml:space="preserve">. </w:t>
            </w:r>
            <w:r>
              <w:rPr>
                <w:rFonts w:ascii="Verdana" w:hAnsi="Verdana"/>
                <w:b/>
                <w:spacing w:val="-10"/>
              </w:rPr>
              <w:t>Progress</w:t>
            </w:r>
            <w:r w:rsidRPr="00187B31">
              <w:rPr>
                <w:rFonts w:ascii="Verdana" w:hAnsi="Verdana"/>
                <w:b/>
                <w:spacing w:val="-10"/>
              </w:rPr>
              <w:t xml:space="preserve"> per activity </w:t>
            </w:r>
          </w:p>
        </w:tc>
      </w:tr>
    </w:tbl>
    <w:p w:rsidR="00F51FEF" w:rsidRDefault="00E32B6D">
      <w:r w:rsidR="00961318">
        <w:rPr>
          <w:noProof/>
        </w:rPr>
        <w:t/>
      </w:r>
      <w:r w:rsidR="00F51FEF">
        <w:t xml:space="preserve"> </w:t>
      </w:r>
    </w:p>
    <w:tbl>
      <w:tblPr>
        <w:tblW w:type="pct" w:w="5000"/>
        <w:jc w:val="center"/>
        <w:tblLayout w:type="fixed"/>
        <w:tblLook w:firstColumn="1" w:firstRow="1" w:lastColumn="0" w:lastRow="0" w:noHBand="0" w:noVBand="1" w:val="04A0"/>
      </w:tblPr>
      <w:tblGrid>
        <w:gridCol w:w="1241"/>
        <w:gridCol w:w="2673"/>
        <w:gridCol w:w="1468"/>
        <w:gridCol w:w="1469"/>
        <w:gridCol w:w="1468"/>
        <w:gridCol w:w="1468"/>
        <w:gridCol w:w="6"/>
        <w:gridCol w:w="1462"/>
        <w:gridCol w:w="1469"/>
        <w:gridCol w:w="2153"/>
      </w:tblGrid>
      <w:tr w:rsidR="000C4B70" w:rsidRPr="00DE090B" w:rsidTr="00275274">
        <w:trPr>
          <w:trHeight w:val="2460"/>
          <w:jc w:val="center"/>
        </w:trPr>
        <w:tc>
          <w:tcPr>
            <w:tcW w:type="dxa" w:w="1241"/>
            <w:tcBorders>
              <w:top w:color="auto" w:space="0" w:sz="12" w:val="single"/>
              <w:left w:color="auto" w:space="0" w:sz="12" w:val="single"/>
              <w:right w:color="auto" w:space="0" w:sz="8" w:val="single"/>
            </w:tcBorders>
            <w:shd w:color="auto" w:fill="auto" w:val="clear"/>
            <w:vAlign w:val="center"/>
            <w:hideMark/>
          </w:tcPr>
          <w:p w:rsidP="008607F6" w:rsidR="000C4B70" w:rsidRDefault="0020360A" w:rsidRPr="00DE090B">
            <w:pPr>
              <w:spacing w:after="0" w:line="240" w:lineRule="auto"/>
              <w:rPr>
                <w:rFonts w:ascii="Verdana" w:eastAsia="Times New Roman" w:hAnsi="Verdana"/>
                <w:b/>
                <w:bCs/>
                <w:sz w:val="18"/>
                <w:lang w:eastAsia="en-GB"/>
              </w:rPr>
            </w:pPr>
            <w:r>
              <w:rPr>
                <w:rFonts w:ascii="Verdana" w:eastAsia="Times New Roman" w:hAnsi="Verdana"/>
                <w:b/>
                <w:bCs/>
                <w:spacing w:val="-10"/>
                <w:sz w:val="18"/>
                <w:lang w:eastAsia="en-GB"/>
              </w:rPr>
              <w:t xml:space="preserve">Activity </w:t>
            </w:r>
            <w:r w:rsidR="008607F6">
              <w:rPr>
                <w:rFonts w:ascii="Verdana" w:eastAsia="Times New Roman" w:hAnsi="Verdana"/>
                <w:b/>
                <w:bCs/>
                <w:noProof/>
                <w:spacing w:val="-10"/>
                <w:sz w:val="18"/>
                <w:lang w:eastAsia="en-GB"/>
              </w:rPr>
              <w:t>1</w:t>
            </w:r>
          </w:p>
        </w:tc>
        <w:tc>
          <w:tcPr>
            <w:tcW w:type="dxa" w:w="2673"/>
            <w:tcBorders>
              <w:top w:color="auto" w:space="0" w:sz="12" w:val="single"/>
              <w:left w:color="auto" w:space="0" w:sz="8" w:val="single"/>
              <w:bottom w:color="000000" w:space="0" w:sz="12" w:val="single"/>
              <w:right w:color="auto"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Title</w:t>
            </w:r>
          </w:p>
        </w:tc>
        <w:tc>
          <w:tcPr>
            <w:tcW w:type="dxa" w:w="2937"/>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Start/End date</w:t>
            </w:r>
            <w:r w:rsidRPr="00DE090B">
              <w:rPr>
                <w:rFonts w:ascii="Verdana" w:eastAsia="Times New Roman" w:hAnsi="Verdana"/>
                <w:b/>
                <w:bCs/>
                <w:spacing w:val="-10"/>
                <w:sz w:val="18"/>
                <w:vertAlign w:val="superscript"/>
                <w:lang w:eastAsia="en-GB"/>
              </w:rPr>
              <w:t xml:space="preserve"> (GA)</w:t>
            </w:r>
            <w:r w:rsidRPr="00DE090B">
              <w:rPr>
                <w:rFonts w:ascii="Verdana" w:eastAsia="Times New Roman" w:hAnsi="Verdana"/>
                <w:b/>
                <w:bCs/>
                <w:spacing w:val="-10"/>
                <w:sz w:val="18"/>
                <w:lang w:eastAsia="en-GB"/>
              </w:rPr>
              <w:t xml:space="preserve"> </w:t>
            </w:r>
          </w:p>
        </w:tc>
        <w:tc>
          <w:tcPr>
            <w:tcW w:type="dxa" w:w="2936"/>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Start/end dates </w:t>
            </w:r>
          </w:p>
        </w:tc>
        <w:tc>
          <w:tcPr>
            <w:tcW w:type="dxa" w:w="2937"/>
            <w:gridSpan w:val="3"/>
            <w:tcBorders>
              <w:top w:color="auto" w:space="0" w:sz="12" w:val="single"/>
              <w:left w:color="auto" w:space="0" w:sz="8" w:val="single"/>
              <w:bottom w:color="000000" w:space="0" w:sz="12" w:val="single"/>
              <w:right w:color="000000" w:space="0" w:sz="8" w:val="single"/>
            </w:tcBorders>
            <w:shd w:color="auto" w:fill="auto" w:val="clear"/>
            <w:vAlign w:val="center"/>
            <w:hideMark/>
          </w:tcPr>
          <w:p w:rsidP="004B31A7"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Start/End date</w:t>
            </w:r>
          </w:p>
        </w:tc>
        <w:tc>
          <w:tcPr>
            <w:tcW w:type="dxa" w:w="2153"/>
            <w:tcBorders>
              <w:top w:color="auto" w:space="0" w:sz="12" w:val="single"/>
              <w:left w:color="auto" w:space="0" w:sz="8" w:val="single"/>
              <w:bottom w:color="000000" w:space="0" w:sz="12" w:val="single"/>
              <w:right w:color="auto" w:space="0" w:sz="8" w:val="single"/>
            </w:tcBorders>
            <w:shd w:color="auto" w:fill="auto" w:val="clear"/>
            <w:vAlign w:val="center"/>
            <w:hideMark/>
          </w:tcPr>
          <w:p w:rsidP="002E2FFD" w:rsidR="000C4B70" w:rsidRDefault="00462537"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Overall technical</w:t>
            </w:r>
            <w:r w:rsidR="00242468">
              <w:rPr>
                <w:rFonts w:ascii="Verdana" w:eastAsia="Times New Roman" w:hAnsi="Verdana"/>
                <w:b/>
                <w:bCs/>
                <w:spacing w:val="-10"/>
                <w:sz w:val="18"/>
                <w:lang w:eastAsia="en-GB"/>
              </w:rPr>
              <w:t xml:space="preserve"> p</w:t>
            </w:r>
            <w:r w:rsidR="000C4B70" w:rsidRPr="00DE090B">
              <w:rPr>
                <w:rFonts w:ascii="Verdana" w:eastAsia="Times New Roman" w:hAnsi="Verdana"/>
                <w:b/>
                <w:bCs/>
                <w:spacing w:val="-10"/>
                <w:sz w:val="18"/>
                <w:lang w:eastAsia="en-GB"/>
              </w:rPr>
              <w:t xml:space="preserve">rogress achieved </w:t>
            </w:r>
            <w:r w:rsidR="002E2FFD">
              <w:rPr>
                <w:rFonts w:ascii="Verdana" w:eastAsia="Times New Roman" w:hAnsi="Verdana"/>
                <w:b/>
                <w:bCs/>
                <w:spacing w:val="-10"/>
                <w:sz w:val="18"/>
                <w:lang w:eastAsia="en-GB"/>
              </w:rPr>
              <w:t>until</w:t>
            </w:r>
            <w:r w:rsidR="000C4B70" w:rsidRPr="00DE090B">
              <w:rPr>
                <w:rFonts w:ascii="Verdana" w:eastAsia="Times New Roman" w:hAnsi="Verdana"/>
                <w:b/>
                <w:bCs/>
                <w:spacing w:val="-10"/>
                <w:sz w:val="18"/>
                <w:lang w:eastAsia="en-GB"/>
              </w:rPr>
              <w:t xml:space="preserve"> the end of the </w:t>
            </w:r>
            <w:r w:rsidR="002E2FFD">
              <w:rPr>
                <w:rFonts w:ascii="Verdana" w:eastAsia="Times New Roman" w:hAnsi="Verdana"/>
                <w:b/>
                <w:bCs/>
                <w:spacing w:val="-10"/>
                <w:sz w:val="18"/>
                <w:lang w:eastAsia="en-GB"/>
              </w:rPr>
              <w:t xml:space="preserve">previous </w:t>
            </w:r>
            <w:r w:rsidR="000C4B70" w:rsidRPr="00DE090B">
              <w:rPr>
                <w:rFonts w:ascii="Verdana" w:eastAsia="Times New Roman" w:hAnsi="Verdana"/>
                <w:b/>
                <w:bCs/>
                <w:spacing w:val="-10"/>
                <w:sz w:val="18"/>
                <w:lang w:eastAsia="en-GB"/>
              </w:rPr>
              <w:t>reporting period (%)</w:t>
            </w:r>
            <w:r w:rsidR="000C4B70">
              <w:rPr>
                <w:rFonts w:ascii="Verdana" w:eastAsia="Times New Roman" w:hAnsi="Verdana"/>
                <w:b/>
                <w:bCs/>
                <w:spacing w:val="-10"/>
                <w:sz w:val="18"/>
                <w:lang w:eastAsia="en-GB"/>
              </w:rPr>
              <w:t>*</w:t>
            </w:r>
          </w:p>
        </w:tc>
      </w:tr>
      <w:tr w:rsidR="00893ED9" w:rsidRPr="00160F69" w:rsidTr="00275274">
        <w:trPr>
          <w:trHeight w:val="310"/>
          <w:jc w:val="center"/>
        </w:trPr>
        <w:tc>
          <w:tcPr>
            <w:tcW w:type="dxa" w:w="1241"/>
            <w:tcBorders>
              <w:top w:val="nil"/>
              <w:left w:color="auto" w:space="0" w:sz="12" w:val="single"/>
              <w:bottom w:color="auto" w:space="0" w:sz="12" w:val="single"/>
              <w:right w:color="auto" w:space="0" w:sz="8" w:val="single"/>
            </w:tcBorders>
            <w:shd w:color="auto" w:fill="auto" w:val="clear"/>
            <w:vAlign w:val="center"/>
            <w:hideMark/>
          </w:tcPr>
          <w:p w:rsidP="00887EE8" w:rsidR="00893ED9" w:rsidRDefault="00893ED9" w:rsidRPr="00160F69">
            <w:pPr>
              <w:spacing w:after="0" w:line="240" w:lineRule="auto"/>
              <w:jc w:val="both"/>
              <w:rPr>
                <w:rFonts w:ascii="Verdana" w:eastAsia="Times New Roman" w:hAnsi="Verdana"/>
                <w:b/>
                <w:bCs/>
                <w:lang w:eastAsia="en-GB"/>
              </w:rPr>
            </w:pPr>
            <w:r w:rsidRPr="00160F69">
              <w:rPr>
                <w:rFonts w:ascii="Verdana" w:eastAsia="Times New Roman" w:hAnsi="Verdana"/>
                <w:b/>
                <w:bCs/>
                <w:spacing w:val="-10"/>
                <w:lang w:eastAsia="en-GB"/>
              </w:rPr>
              <w:t> </w:t>
            </w:r>
          </w:p>
        </w:tc>
        <w:tc>
          <w:tcPr>
            <w:tcW w:type="dxa" w:w="2673"/>
            <w:tcBorders>
              <w:top w:val="nil"/>
              <w:left w:val="nil"/>
              <w:bottom w:color="auto" w:space="0" w:sz="12" w:val="single"/>
              <w:right w:color="auto" w:space="0" w:sz="8" w:val="single"/>
            </w:tcBorders>
            <w:shd w:color="000000" w:fill="FFFFFF" w:val="clear"/>
            <w:vAlign w:val="center"/>
            <w:hideMark/>
          </w:tcPr>
          <w:p w:rsidP="00893ED9" w:rsidR="00893ED9" w:rsidRDefault="00893ED9" w:rsidRPr="0049608D">
            <w:pPr>
              <w:spacing w:after="0" w:line="240" w:lineRule="auto"/>
              <w:rPr>
                <w:rFonts w:ascii="Verdana" w:eastAsia="Times New Roman" w:hAnsi="Verdana"/>
                <w:sz w:val="18"/>
                <w:szCs w:val="18"/>
                <w:lang w:eastAsia="en-GB"/>
              </w:rPr>
            </w:pPr>
            <w:r w:rsidRPr="0049608D">
              <w:rPr>
                <w:rFonts w:ascii="Verdana" w:eastAsia="Times New Roman" w:hAnsi="Verdana"/>
                <w:noProof/>
                <w:sz w:val="18"/>
                <w:szCs w:val="18"/>
                <w:lang w:eastAsia="en-GB"/>
              </w:rPr>
              <w:t>Public procurement, authorisation procedures and detailed design</w:t>
            </w:r>
          </w:p>
        </w:tc>
        <w:tc>
          <w:tcPr>
            <w:tcW w:type="dxa" w:w="1468"/>
            <w:tcBorders>
              <w:top w:val="nil"/>
              <w:left w:val="nil"/>
              <w:bottom w:color="auto" w:space="0" w:sz="12" w:val="single"/>
              <w:right w:color="auto" w:space="0" w:sz="8" w:val="single"/>
            </w:tcBorders>
            <w:shd w:color="000000" w:fill="FFFFFF" w:val="clear"/>
            <w:vAlign w:val="center"/>
            <w:hideMark/>
          </w:tcPr>
          <w:p w:rsidP="00A022CE" w:rsidR="00FA3869" w:rsidRDefault="00BD647E" w:rsidRPr="0049608D">
            <w:pPr>
              <w:spacing w:after="0" w:line="240" w:lineRule="auto"/>
              <w:rPr>
                <w:rFonts w:ascii="Verdana" w:eastAsia="Times New Roman" w:hAnsi="Verdana"/>
                <w:sz w:val="18"/>
                <w:szCs w:val="18"/>
                <w:lang w:eastAsia="en-GB"/>
              </w:rPr>
            </w:pPr>
            <w:r w:rsidR="00E6164F">
              <w:rPr>
                <w:rFonts w:ascii="Verdana" w:eastAsia="Times New Roman" w:hAnsi="Verdana"/>
                <w:noProof/>
                <w:sz w:val="18"/>
                <w:szCs w:val="18"/>
                <w:lang w:eastAsia="en-GB"/>
              </w:rPr>
              <w:t>02/03/2017</w:t>
            </w:r>
          </w:p>
        </w:tc>
        <w:tc>
          <w:tcPr>
            <w:tcW w:type="dxa" w:w="1469"/>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31/10/2024</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FE35C9"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02/03/2017</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31/10/2024</w:t>
            </w:r>
          </w:p>
        </w:tc>
        <w:tc>
          <w:tcPr>
            <w:tcW w:type="dxa" w:w="1468"/>
            <w:gridSpan w:val="2"/>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02/03/2017</w:t>
            </w:r>
          </w:p>
        </w:tc>
        <w:tc>
          <w:tcPr>
            <w:tcW w:type="dxa" w:w="1469"/>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sidR="007E1A22">
              <w:rPr>
                <w:rFonts w:ascii="Verdana" w:eastAsia="Times New Roman" w:hAnsi="Verdana"/>
                <w:noProof/>
                <w:sz w:val="18"/>
                <w:szCs w:val="18"/>
                <w:lang w:eastAsia="en-GB"/>
              </w:rPr>
              <w:t>31/10/2024</w:t>
            </w:r>
          </w:p>
        </w:tc>
        <w:tc>
          <w:tcPr>
            <w:tcW w:type="dxa" w:w="2153"/>
            <w:tcBorders>
              <w:top w:val="nil"/>
              <w:left w:val="nil"/>
              <w:bottom w:color="auto" w:space="0" w:sz="12" w:val="single"/>
              <w:right w:color="auto" w:space="0" w:sz="8" w:val="single"/>
            </w:tcBorders>
            <w:shd w:color="auto" w:fill="auto" w:val="clear"/>
            <w:vAlign w:val="center"/>
            <w:hideMark/>
          </w:tcPr>
          <w:p w:rsidP="00816707" w:rsidR="00893ED9" w:rsidRDefault="00E658FD" w:rsidRPr="0049608D">
            <w:pPr>
              <w:spacing w:after="0" w:line="240" w:lineRule="auto"/>
              <w:jc w:val="center"/>
              <w:rPr>
                <w:rFonts w:ascii="Verdana" w:eastAsia="Times New Roman" w:hAnsi="Verdana"/>
                <w:sz w:val="18"/>
                <w:szCs w:val="18"/>
                <w:lang w:eastAsia="en-GB"/>
              </w:rPr>
            </w:pPr>
            <w:r>
              <w:rPr>
                <w:rFonts w:ascii="Verdana" w:eastAsia="Times New Roman" w:hAnsi="Verdana"/>
                <w:noProof/>
                <w:sz w:val="18"/>
                <w:szCs w:val="18"/>
                <w:lang w:eastAsia="en-GB"/>
              </w:rPr>
              <w:t>98.00</w:t>
            </w:r>
          </w:p>
        </w:tc>
      </w:tr>
      <w:tr w:rsidR="00893ED9" w:rsidRPr="00DE090B" w:rsidTr="00F51FEF">
        <w:trPr>
          <w:trHeight w:val="476"/>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887EE8" w:rsidR="00893ED9" w:rsidRDefault="00893ED9" w:rsidRPr="00DE090B">
            <w:pPr>
              <w:spacing w:after="0" w:line="240" w:lineRule="auto"/>
              <w:jc w:val="center"/>
              <w:rPr>
                <w:rFonts w:ascii="Verdana" w:eastAsia="Times New Roman" w:hAnsi="Verdana"/>
                <w:b/>
                <w:bCs/>
                <w:spacing w:val="-10"/>
                <w:sz w:val="18"/>
                <w:lang w:eastAsia="en-G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893ED9" w:rsidRPr="00DE090B" w:rsidTr="00F53A95">
        <w:trPr>
          <w:trHeight w:val="965"/>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F53A95" w:rsidR="00893ED9" w:rsidRDefault="003D4D07" w:rsidRPr="00A44255">
            <w:pPr>
              <w:spacing w:after="0" w:line="240" w:lineRule="auto"/>
              <w:rPr>
                <w:rFonts w:ascii="Verdana" w:eastAsia="Times New Roman" w:hAnsi="Verdana"/>
                <w:bCs/>
                <w:spacing w:val="-10"/>
                <w:sz w:val="18"/>
                <w:lang w:eastAsia="en-GB"/>
              </w:rPr>
            </w:pPr>
            <w:r>
              <w:rPr>
                <w:rFonts w:ascii="Verdana" w:eastAsia="Times New Roman" w:hAnsi="Verdana"/>
                <w:bCs/>
                <w:noProof/>
                <w:spacing w:val="-10"/>
                <w:sz w:val="18"/>
                <w:lang w:eastAsia="en-GB"/>
              </w:rPr>
              <w:t>The methodology for calculating the technical progress of this activity is based on the weighted percentage technical progress. The value of the technical progress of 98 % includes performed activities within milestones 1, 2, 3, 4, 5, 6, 7, 8, 9, 10, 11  and 12, while the achieved technical progress of the milestones corresponds to the following percentage values: milestone 1 – 1 %, milestone 2 – 7 %, milestone 3 – 7 %, milestone 4 – 1 %, milestone 5 – 21 %, milestone 6 – 9 %, milestone 7 – 6 %, milestone 8 – 9 %, milestone 9 – 2 %, milestone 10 – 6 %, milestone 11 – 2 % and milestone 12 – 27 %. (No activities have been performed within milestone 13.</w:t>
            </w:r>
          </w:p>
        </w:tc>
      </w:tr>
      <w:tr w:rsidR="00893ED9" w:rsidRPr="00DE090B" w:rsidTr="00275274">
        <w:trPr>
          <w:trHeight w:val="1370"/>
          <w:jc w:val="center"/>
        </w:trPr>
        <w:tc>
          <w:tcPr>
            <w:tcW w:type="dxa" w:w="1241"/>
            <w:tcBorders>
              <w:top w:val="nil"/>
              <w:left w:color="auto" w:space="0" w:sz="12" w:val="single"/>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Milestone no</w:t>
            </w:r>
          </w:p>
        </w:tc>
        <w:tc>
          <w:tcPr>
            <w:tcW w:type="dxa" w:w="2673"/>
            <w:tcBorders>
              <w:top w:val="nil"/>
              <w:left w:val="nil"/>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Title</w:t>
            </w:r>
            <w:r w:rsidRPr="00DE090B">
              <w:rPr>
                <w:rFonts w:ascii="Verdana" w:eastAsia="Times New Roman" w:hAnsi="Verdana"/>
                <w:b/>
                <w:bCs/>
                <w:sz w:val="18"/>
                <w:vertAlign w:val="superscript"/>
                <w:lang w:eastAsia="en-GB"/>
              </w:rPr>
              <w:t>1</w:t>
            </w:r>
          </w:p>
        </w:tc>
        <w:tc>
          <w:tcPr>
            <w:tcW w:type="dxa" w:w="2937"/>
            <w:gridSpan w:val="2"/>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completion date</w:t>
            </w:r>
            <w:r w:rsidR="002E2FFD">
              <w:rPr>
                <w:rFonts w:ascii="Verdana" w:eastAsia="Times New Roman" w:hAnsi="Verdana"/>
                <w:b/>
                <w:bCs/>
                <w:spacing w:val="-10"/>
                <w:sz w:val="18"/>
                <w:lang w:eastAsia="en-GB"/>
              </w:rPr>
              <w:t xml:space="preserve"> </w:t>
            </w:r>
            <w:r w:rsidR="002E2FFD" w:rsidRPr="00DE090B">
              <w:rPr>
                <w:rFonts w:ascii="Verdana" w:eastAsia="Times New Roman" w:hAnsi="Verdana"/>
                <w:b/>
                <w:bCs/>
                <w:spacing w:val="-10"/>
                <w:sz w:val="18"/>
                <w:vertAlign w:val="superscript"/>
                <w:lang w:eastAsia="en-GB"/>
              </w:rPr>
              <w:t>(GA)</w:t>
            </w:r>
          </w:p>
        </w:tc>
        <w:tc>
          <w:tcPr>
            <w:tcW w:type="dxa" w:w="2942"/>
            <w:gridSpan w:val="3"/>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date</w:t>
            </w:r>
          </w:p>
        </w:tc>
        <w:tc>
          <w:tcPr>
            <w:tcW w:type="dxa" w:w="2931"/>
            <w:gridSpan w:val="2"/>
            <w:tcBorders>
              <w:top w:color="auto" w:space="0" w:sz="12" w:val="single"/>
              <w:left w:val="nil"/>
              <w:bottom w:color="auto" w:space="0" w:sz="12" w:val="single"/>
              <w:right w:color="000000" w:space="0" w:sz="8" w:val="single"/>
            </w:tcBorders>
            <w:shd w:color="auto" w:fill="auto" w:val="clear"/>
            <w:vAlign w:val="center"/>
            <w:hideMark/>
          </w:tcPr>
          <w:p w:rsidP="004B31A7"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completion date</w:t>
            </w:r>
          </w:p>
        </w:tc>
        <w:tc>
          <w:tcPr>
            <w:tcW w:type="dxa" w:w="2153"/>
            <w:tcBorders>
              <w:top w:val="nil"/>
              <w:left w:val="nil"/>
              <w:bottom w:color="auto" w:space="0" w:sz="12" w:val="single"/>
              <w:right w:color="auto" w:space="0" w:sz="8" w:val="single"/>
            </w:tcBorders>
            <w:shd w:color="auto" w:fill="auto"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Reached (Y/N)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Start  of the preparation of the tender documentation for the selection of the design contractor   </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02/03/2017</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02/03/2017</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02/03/2017</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2</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Public procurement procedure for a detailed design contractor published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20/01/2018</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20/01/2018</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20/01/2018</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pre-notification was published on 03/11/2017 in the OJ and on 06/11/2017 in the PPJ. Due to the specificity of the subject of the contract, the delay in PP was due to the need to revise contractual terms (draft contract) as these are an essential part of the tender documents. At the time of inspection prior to the publication of the PP carried out by the MoTC SR, the issue of non-dividing of the subject of the contract was addressed. The result was that one single contract for a design contractor would be a subject of PP.</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3</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Contract signed for a design contractor</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15/10/2018</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15/10/2018</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15/10/2018</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A smooth evaluation of the bids, as the Bidding Committee did not have to ask at all for the explanation of the bid.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4</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Start of the detailed design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17/10/2018</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17/10/2018</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17/10/2018</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shift of term is due to shift of term for milestone 3.</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5</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Territorial decision and State expertise issued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17/03/2020</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17/03/2020</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17/03/2020</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DSZ/DUR documentation has been completed, which was the basis for the protocol on state expertise issued on 10/12/2019.</w:t>
              <w:br/>
              <w:t xml:space="preserve"/>
              <w:br/>
              <w:t xml:space="preserve">The construction was divided into 2 sections: section A (Žilina – Košice) and section B (Košice - Čierna nad Tisou). The territorial decision (zoning permit) for section B was issued on 20/01/2020 and entered into force on 26/02/2020 (see Annex 6.1). The territorial decision for section A was issued on 17/03/2020 (see Annex 6.2).</w:t>
              <w:br/>
              <w:t xml:space="preserve"/>
              <w:br/>
              <w:t xml:space="preserve">The time shift was due to a delayed issue of the opinion on the DSZ/DUR documentation of the Važec municipality for section A and the Stanča municipality for section B. </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6</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Public procurement procedure for construction works published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29/07/2022</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29/07/2022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29/07/2022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reasons for the delay of M6 are as follows:  </w:t>
              <w:br/>
              <w:t xml:space="preserve">-</w:t>
              <w:tab/>
              <w:t xml:space="preserve">Completion of the draft tender documents (reasons are explained in part 2.1) </w:t>
              <w:br/>
              <w:t xml:space="preserve">-</w:t>
              <w:tab/>
              <w:t xml:space="preserve">Long project evaluation time (assessment of its effectiveness) by MF SR (ÚHP) – an estimated length of time was 30 days (1 month), the real length of time was 4,5 months </w:t>
              <w:br/>
              <w:t xml:space="preserve">-</w:t>
              <w:tab/>
              <w:t xml:space="preserve">Solving the possibility for publication of a contract notice while not respecting the recommendation of the MF SR (ÚHP)with the MoT SR (a response was sent after over a month) </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7</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Public procurement procedure for a construction works supervision published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25/11/2022</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25/11/2022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25/11/2022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Advertising public tender for Construction Supervisor at the same time as advertising public tender for construction works was not possible for objective reasons – limited personnel capacity within Department for Public Procurement.</w:t>
              <w:br/>
              <w:t xml:space="preserve">However, this delay will not have no effect on the execution of construction works.</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8</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Contract signed for construction works</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22/03/2023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22/03/2023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22/03/2023</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shift of term is due to shift of term for milestone 6.</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9</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Contract signed for external project management and audit support</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07/07/2020</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07/07/2020</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07/07/2020</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contract concluded on 07/07/2020 concerns the provision of audit services to certify 2019 expenditure for this action, as for 2019 expenditure a "certificate on the financial statements" issued by a approved auditor had to be attached to the request for interim payment interim.</w:t>
              <w:br/>
              <w:t xml:space="preserve">Another contract concluded on 07/07/2022 concerns the provision of audit services to certify 2020 and 2021 expenditure for this action. The certificate on the financial statements issued by a approved auditor was attached to the request for interim payment interim in August 2022.</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10</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Contract signed for construction works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03/07/2023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31/05/2023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03/07/2023</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delay of approximately a month occurred due to the receipt of objections to the evaluation of bids from the unsuccessful bidder. The procurement process was interrupted by an objection procedure which began on 17/04/2023.</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11</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Contract signed for temporary billboards </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21/08/2023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31/05/2023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21/08/2023</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milestone was not achieved by the latest planned completion date due to the decision to conduct a single joint procurement in 2023 to ensure adequate publicity for projects funded from various EU sources (CEF, Integrated Infrastructure Operational Program, Recovery and Resilience Plan). As a result, the preparation of the tendering procedure took longer. This involved contracts with the same CPV code (Common Procurement Vocabulary). Since construction projects were already being financed from the Recovery and Resilience Plan in 2023, it was necessary to determine the form and conditions of awareness within this funding source. Consequently, the preparation of tendering documents also involved the MoT SR and the Office of the Government of the Slovak Republic, leading to a delay in the tendering procedure preparation.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12</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Detailed design completed and approved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29/10/2021</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29/10/2021</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29/10/2021</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documentation for detailed design for section B was completed and approved in June 2021 and delivered to ŽSR on 01/07/2021 (see Annex 10.1).  The detailed design for section A was delivered to ŽSR on 29/10/2021 (see Annex 10.2).</w:t>
              <w:br/>
              <w:t xml:space="preserve"/>
              <w:br/>
              <w:t xml:space="preserve">The deviation from the planned completion date is due to the delay in the issuance of the approval decision by the MoT SR for DSP documentation for section A, which lasted three months instead of the expected one month. (The request for approval was sent on 20/04/2021 and the approval decision was delivered on 20/07/2021.) This delay could not have been influenced by the applicant and was caused by the third party.</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13</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1 -Contract signed for commemorative plaques </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31/10/2024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31/10/2024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31/10/2024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bl>
    <w:p w:rsidR="00AB2D5F" w:rsidRDefault="00E035B3">
      <w:pPr>
        <w:sectPr w:rsidR="00AB2D5F" w:rsidSect="00AB2D5F">
          <w:pgSz w:h="11906" w:orient="landscape" w:w="16838"/>
          <w:pgMar w:bottom="1440" w:footer="709" w:gutter="0" w:header="709" w:left="1440" w:right="737" w:top="1440"/>
          <w:cols w:space="708"/>
          <w:docGrid w:linePitch="360"/>
        </w:sectPr>
      </w:pPr>
      <w:r w:rsidR="00F51FEF">
        <w:rPr>
          <w:noProof/>
        </w:rPr>
        <w:t/>
      </w:r>
      <w:r w:rsidR="00F51FEF">
        <w:t xml:space="preserve"> </w:t>
      </w:r>
    </w:p>
    <w:tbl>
      <w:tblPr>
        <w:tblW w:type="pct" w:w="5000"/>
        <w:jc w:val="center"/>
        <w:tblLayout w:type="fixed"/>
        <w:tblLook w:firstColumn="1" w:firstRow="1" w:lastColumn="0" w:lastRow="0" w:noHBand="0" w:noVBand="1" w:val="04A0"/>
      </w:tblPr>
      <w:tblGrid>
        <w:gridCol w:w="1241"/>
        <w:gridCol w:w="2673"/>
        <w:gridCol w:w="1468"/>
        <w:gridCol w:w="1469"/>
        <w:gridCol w:w="1468"/>
        <w:gridCol w:w="1468"/>
        <w:gridCol w:w="6"/>
        <w:gridCol w:w="1462"/>
        <w:gridCol w:w="1469"/>
        <w:gridCol w:w="2153"/>
      </w:tblGrid>
      <w:tr w:rsidR="000C4B70" w:rsidRPr="00DE090B" w:rsidTr="00275274">
        <w:trPr>
          <w:trHeight w:val="2460"/>
          <w:jc w:val="center"/>
        </w:trPr>
        <w:tc>
          <w:tcPr>
            <w:tcW w:type="dxa" w:w="1241"/>
            <w:tcBorders>
              <w:top w:color="auto" w:space="0" w:sz="12" w:val="single"/>
              <w:left w:color="auto" w:space="0" w:sz="12" w:val="single"/>
              <w:right w:color="auto" w:space="0" w:sz="8" w:val="single"/>
            </w:tcBorders>
            <w:shd w:color="auto" w:fill="auto" w:val="clear"/>
            <w:vAlign w:val="center"/>
            <w:hideMark/>
          </w:tcPr>
          <w:p w:rsidP="008607F6" w:rsidR="000C4B70" w:rsidRDefault="0020360A" w:rsidRPr="00DE090B">
            <w:pPr>
              <w:spacing w:after="0" w:line="240" w:lineRule="auto"/>
              <w:rPr>
                <w:rFonts w:ascii="Verdana" w:eastAsia="Times New Roman" w:hAnsi="Verdana"/>
                <w:b/>
                <w:bCs/>
                <w:sz w:val="18"/>
                <w:lang w:eastAsia="en-GB"/>
              </w:rPr>
            </w:pPr>
            <w:r>
              <w:rPr>
                <w:rFonts w:ascii="Verdana" w:eastAsia="Times New Roman" w:hAnsi="Verdana"/>
                <w:b/>
                <w:bCs/>
                <w:spacing w:val="-10"/>
                <w:sz w:val="18"/>
                <w:lang w:eastAsia="en-GB"/>
              </w:rPr>
              <w:t xml:space="preserve">Activity </w:t>
            </w:r>
            <w:r w:rsidR="008607F6">
              <w:rPr>
                <w:rFonts w:ascii="Verdana" w:eastAsia="Times New Roman" w:hAnsi="Verdana"/>
                <w:b/>
                <w:bCs/>
                <w:noProof/>
                <w:spacing w:val="-10"/>
                <w:sz w:val="18"/>
                <w:lang w:eastAsia="en-GB"/>
              </w:rPr>
              <w:t>2</w:t>
            </w:r>
          </w:p>
        </w:tc>
        <w:tc>
          <w:tcPr>
            <w:tcW w:type="dxa" w:w="2673"/>
            <w:tcBorders>
              <w:top w:color="auto" w:space="0" w:sz="12" w:val="single"/>
              <w:left w:color="auto" w:space="0" w:sz="8" w:val="single"/>
              <w:bottom w:color="000000" w:space="0" w:sz="12" w:val="single"/>
              <w:right w:color="auto"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Title</w:t>
            </w:r>
          </w:p>
        </w:tc>
        <w:tc>
          <w:tcPr>
            <w:tcW w:type="dxa" w:w="2937"/>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Start/End date</w:t>
            </w:r>
            <w:r w:rsidRPr="00DE090B">
              <w:rPr>
                <w:rFonts w:ascii="Verdana" w:eastAsia="Times New Roman" w:hAnsi="Verdana"/>
                <w:b/>
                <w:bCs/>
                <w:spacing w:val="-10"/>
                <w:sz w:val="18"/>
                <w:vertAlign w:val="superscript"/>
                <w:lang w:eastAsia="en-GB"/>
              </w:rPr>
              <w:t xml:space="preserve"> (GA)</w:t>
            </w:r>
            <w:r w:rsidRPr="00DE090B">
              <w:rPr>
                <w:rFonts w:ascii="Verdana" w:eastAsia="Times New Roman" w:hAnsi="Verdana"/>
                <w:b/>
                <w:bCs/>
                <w:spacing w:val="-10"/>
                <w:sz w:val="18"/>
                <w:lang w:eastAsia="en-GB"/>
              </w:rPr>
              <w:t xml:space="preserve"> </w:t>
            </w:r>
          </w:p>
        </w:tc>
        <w:tc>
          <w:tcPr>
            <w:tcW w:type="dxa" w:w="2936"/>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Start/end dates </w:t>
            </w:r>
          </w:p>
        </w:tc>
        <w:tc>
          <w:tcPr>
            <w:tcW w:type="dxa" w:w="2937"/>
            <w:gridSpan w:val="3"/>
            <w:tcBorders>
              <w:top w:color="auto" w:space="0" w:sz="12" w:val="single"/>
              <w:left w:color="auto" w:space="0" w:sz="8" w:val="single"/>
              <w:bottom w:color="000000" w:space="0" w:sz="12" w:val="single"/>
              <w:right w:color="000000" w:space="0" w:sz="8" w:val="single"/>
            </w:tcBorders>
            <w:shd w:color="auto" w:fill="auto" w:val="clear"/>
            <w:vAlign w:val="center"/>
            <w:hideMark/>
          </w:tcPr>
          <w:p w:rsidP="004B31A7"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Start/End date</w:t>
            </w:r>
          </w:p>
        </w:tc>
        <w:tc>
          <w:tcPr>
            <w:tcW w:type="dxa" w:w="2153"/>
            <w:tcBorders>
              <w:top w:color="auto" w:space="0" w:sz="12" w:val="single"/>
              <w:left w:color="auto" w:space="0" w:sz="8" w:val="single"/>
              <w:bottom w:color="000000" w:space="0" w:sz="12" w:val="single"/>
              <w:right w:color="auto" w:space="0" w:sz="8" w:val="single"/>
            </w:tcBorders>
            <w:shd w:color="auto" w:fill="auto" w:val="clear"/>
            <w:vAlign w:val="center"/>
            <w:hideMark/>
          </w:tcPr>
          <w:p w:rsidP="002E2FFD" w:rsidR="000C4B70" w:rsidRDefault="00462537"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Overall technical</w:t>
            </w:r>
            <w:r w:rsidR="00242468">
              <w:rPr>
                <w:rFonts w:ascii="Verdana" w:eastAsia="Times New Roman" w:hAnsi="Verdana"/>
                <w:b/>
                <w:bCs/>
                <w:spacing w:val="-10"/>
                <w:sz w:val="18"/>
                <w:lang w:eastAsia="en-GB"/>
              </w:rPr>
              <w:t xml:space="preserve"> p</w:t>
            </w:r>
            <w:r w:rsidR="000C4B70" w:rsidRPr="00DE090B">
              <w:rPr>
                <w:rFonts w:ascii="Verdana" w:eastAsia="Times New Roman" w:hAnsi="Verdana"/>
                <w:b/>
                <w:bCs/>
                <w:spacing w:val="-10"/>
                <w:sz w:val="18"/>
                <w:lang w:eastAsia="en-GB"/>
              </w:rPr>
              <w:t xml:space="preserve">rogress achieved </w:t>
            </w:r>
            <w:r w:rsidR="002E2FFD">
              <w:rPr>
                <w:rFonts w:ascii="Verdana" w:eastAsia="Times New Roman" w:hAnsi="Verdana"/>
                <w:b/>
                <w:bCs/>
                <w:spacing w:val="-10"/>
                <w:sz w:val="18"/>
                <w:lang w:eastAsia="en-GB"/>
              </w:rPr>
              <w:t>until</w:t>
            </w:r>
            <w:r w:rsidR="000C4B70" w:rsidRPr="00DE090B">
              <w:rPr>
                <w:rFonts w:ascii="Verdana" w:eastAsia="Times New Roman" w:hAnsi="Verdana"/>
                <w:b/>
                <w:bCs/>
                <w:spacing w:val="-10"/>
                <w:sz w:val="18"/>
                <w:lang w:eastAsia="en-GB"/>
              </w:rPr>
              <w:t xml:space="preserve"> the end of the </w:t>
            </w:r>
            <w:r w:rsidR="002E2FFD">
              <w:rPr>
                <w:rFonts w:ascii="Verdana" w:eastAsia="Times New Roman" w:hAnsi="Verdana"/>
                <w:b/>
                <w:bCs/>
                <w:spacing w:val="-10"/>
                <w:sz w:val="18"/>
                <w:lang w:eastAsia="en-GB"/>
              </w:rPr>
              <w:t xml:space="preserve">previous </w:t>
            </w:r>
            <w:r w:rsidR="000C4B70" w:rsidRPr="00DE090B">
              <w:rPr>
                <w:rFonts w:ascii="Verdana" w:eastAsia="Times New Roman" w:hAnsi="Verdana"/>
                <w:b/>
                <w:bCs/>
                <w:spacing w:val="-10"/>
                <w:sz w:val="18"/>
                <w:lang w:eastAsia="en-GB"/>
              </w:rPr>
              <w:t>reporting period (%)</w:t>
            </w:r>
            <w:r w:rsidR="000C4B70">
              <w:rPr>
                <w:rFonts w:ascii="Verdana" w:eastAsia="Times New Roman" w:hAnsi="Verdana"/>
                <w:b/>
                <w:bCs/>
                <w:spacing w:val="-10"/>
                <w:sz w:val="18"/>
                <w:lang w:eastAsia="en-GB"/>
              </w:rPr>
              <w:t>*</w:t>
            </w:r>
          </w:p>
        </w:tc>
      </w:tr>
      <w:tr w:rsidR="00893ED9" w:rsidRPr="00160F69" w:rsidTr="00275274">
        <w:trPr>
          <w:trHeight w:val="310"/>
          <w:jc w:val="center"/>
        </w:trPr>
        <w:tc>
          <w:tcPr>
            <w:tcW w:type="dxa" w:w="1241"/>
            <w:tcBorders>
              <w:top w:val="nil"/>
              <w:left w:color="auto" w:space="0" w:sz="12" w:val="single"/>
              <w:bottom w:color="auto" w:space="0" w:sz="12" w:val="single"/>
              <w:right w:color="auto" w:space="0" w:sz="8" w:val="single"/>
            </w:tcBorders>
            <w:shd w:color="auto" w:fill="auto" w:val="clear"/>
            <w:vAlign w:val="center"/>
            <w:hideMark/>
          </w:tcPr>
          <w:p w:rsidP="00887EE8" w:rsidR="00893ED9" w:rsidRDefault="00893ED9" w:rsidRPr="00160F69">
            <w:pPr>
              <w:spacing w:after="0" w:line="240" w:lineRule="auto"/>
              <w:jc w:val="both"/>
              <w:rPr>
                <w:rFonts w:ascii="Verdana" w:eastAsia="Times New Roman" w:hAnsi="Verdana"/>
                <w:b/>
                <w:bCs/>
                <w:lang w:eastAsia="en-GB"/>
              </w:rPr>
            </w:pPr>
            <w:r w:rsidRPr="00160F69">
              <w:rPr>
                <w:rFonts w:ascii="Verdana" w:eastAsia="Times New Roman" w:hAnsi="Verdana"/>
                <w:b/>
                <w:bCs/>
                <w:spacing w:val="-10"/>
                <w:lang w:eastAsia="en-GB"/>
              </w:rPr>
              <w:t> </w:t>
            </w:r>
          </w:p>
        </w:tc>
        <w:tc>
          <w:tcPr>
            <w:tcW w:type="dxa" w:w="2673"/>
            <w:tcBorders>
              <w:top w:val="nil"/>
              <w:left w:val="nil"/>
              <w:bottom w:color="auto" w:space="0" w:sz="12" w:val="single"/>
              <w:right w:color="auto" w:space="0" w:sz="8" w:val="single"/>
            </w:tcBorders>
            <w:shd w:color="000000" w:fill="FFFFFF" w:val="clear"/>
            <w:vAlign w:val="center"/>
            <w:hideMark/>
          </w:tcPr>
          <w:p w:rsidP="00893ED9" w:rsidR="00893ED9" w:rsidRDefault="00893ED9" w:rsidRPr="0049608D">
            <w:pPr>
              <w:spacing w:after="0" w:line="240" w:lineRule="auto"/>
              <w:rPr>
                <w:rFonts w:ascii="Verdana" w:eastAsia="Times New Roman" w:hAnsi="Verdana"/>
                <w:sz w:val="18"/>
                <w:szCs w:val="18"/>
                <w:lang w:eastAsia="en-GB"/>
              </w:rPr>
            </w:pPr>
            <w:r w:rsidRPr="0049608D">
              <w:rPr>
                <w:rFonts w:ascii="Verdana" w:eastAsia="Times New Roman" w:hAnsi="Verdana"/>
                <w:noProof/>
                <w:sz w:val="18"/>
                <w:szCs w:val="18"/>
                <w:lang w:eastAsia="en-GB"/>
              </w:rPr>
              <w:t>Construction works and author supervision</w:t>
            </w:r>
          </w:p>
        </w:tc>
        <w:tc>
          <w:tcPr>
            <w:tcW w:type="dxa" w:w="1468"/>
            <w:tcBorders>
              <w:top w:val="nil"/>
              <w:left w:val="nil"/>
              <w:bottom w:color="auto" w:space="0" w:sz="12" w:val="single"/>
              <w:right w:color="auto" w:space="0" w:sz="8" w:val="single"/>
            </w:tcBorders>
            <w:shd w:color="000000" w:fill="FFFFFF" w:val="clear"/>
            <w:vAlign w:val="center"/>
            <w:hideMark/>
          </w:tcPr>
          <w:p w:rsidP="00A022CE" w:rsidR="00FA3869" w:rsidRDefault="00BD647E" w:rsidRPr="0049608D">
            <w:pPr>
              <w:spacing w:after="0" w:line="240" w:lineRule="auto"/>
              <w:rPr>
                <w:rFonts w:ascii="Verdana" w:eastAsia="Times New Roman" w:hAnsi="Verdana"/>
                <w:sz w:val="18"/>
                <w:szCs w:val="18"/>
                <w:lang w:eastAsia="en-GB"/>
              </w:rPr>
            </w:pPr>
            <w:r w:rsidR="00E6164F">
              <w:rPr>
                <w:rFonts w:ascii="Verdana" w:eastAsia="Times New Roman" w:hAnsi="Verdana"/>
                <w:noProof/>
                <w:sz w:val="18"/>
                <w:szCs w:val="18"/>
                <w:lang w:eastAsia="en-GB"/>
              </w:rPr>
              <w:t>05/07/2023</w:t>
            </w:r>
          </w:p>
        </w:tc>
        <w:tc>
          <w:tcPr>
            <w:tcW w:type="dxa" w:w="1469"/>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31/12/2024</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FE35C9"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01/06/2023</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30/06/2025</w:t>
            </w:r>
          </w:p>
        </w:tc>
        <w:tc>
          <w:tcPr>
            <w:tcW w:type="dxa" w:w="1468"/>
            <w:gridSpan w:val="2"/>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24/07/2023</w:t>
            </w:r>
          </w:p>
        </w:tc>
        <w:tc>
          <w:tcPr>
            <w:tcW w:type="dxa" w:w="1469"/>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sidR="007E1A22">
              <w:rPr>
                <w:rFonts w:ascii="Verdana" w:eastAsia="Times New Roman" w:hAnsi="Verdana"/>
                <w:noProof/>
                <w:sz w:val="18"/>
                <w:szCs w:val="18"/>
                <w:lang w:eastAsia="en-GB"/>
              </w:rPr>
              <w:t>30/06/2025</w:t>
            </w:r>
          </w:p>
        </w:tc>
        <w:tc>
          <w:tcPr>
            <w:tcW w:type="dxa" w:w="2153"/>
            <w:tcBorders>
              <w:top w:val="nil"/>
              <w:left w:val="nil"/>
              <w:bottom w:color="auto" w:space="0" w:sz="12" w:val="single"/>
              <w:right w:color="auto" w:space="0" w:sz="8" w:val="single"/>
            </w:tcBorders>
            <w:shd w:color="auto" w:fill="auto" w:val="clear"/>
            <w:vAlign w:val="center"/>
            <w:hideMark/>
          </w:tcPr>
          <w:p w:rsidP="00816707" w:rsidR="00893ED9" w:rsidRDefault="00E658FD" w:rsidRPr="0049608D">
            <w:pPr>
              <w:spacing w:after="0" w:line="240" w:lineRule="auto"/>
              <w:jc w:val="center"/>
              <w:rPr>
                <w:rFonts w:ascii="Verdana" w:eastAsia="Times New Roman" w:hAnsi="Verdana"/>
                <w:sz w:val="18"/>
                <w:szCs w:val="18"/>
                <w:lang w:eastAsia="en-GB"/>
              </w:rPr>
            </w:pPr>
            <w:r>
              <w:rPr>
                <w:rFonts w:ascii="Verdana" w:eastAsia="Times New Roman" w:hAnsi="Verdana"/>
                <w:noProof/>
                <w:sz w:val="18"/>
                <w:szCs w:val="18"/>
                <w:lang w:eastAsia="en-GB"/>
              </w:rPr>
              <w:t>13.00</w:t>
            </w:r>
          </w:p>
        </w:tc>
      </w:tr>
      <w:tr w:rsidR="00893ED9" w:rsidRPr="00DE090B" w:rsidTr="00F51FEF">
        <w:trPr>
          <w:trHeight w:val="476"/>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887EE8" w:rsidR="00893ED9" w:rsidRDefault="00893ED9" w:rsidRPr="00DE090B">
            <w:pPr>
              <w:spacing w:after="0" w:line="240" w:lineRule="auto"/>
              <w:jc w:val="center"/>
              <w:rPr>
                <w:rFonts w:ascii="Verdana" w:eastAsia="Times New Roman" w:hAnsi="Verdana"/>
                <w:b/>
                <w:bCs/>
                <w:spacing w:val="-10"/>
                <w:sz w:val="18"/>
                <w:lang w:eastAsia="en-G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893ED9" w:rsidRPr="00DE090B" w:rsidTr="00F53A95">
        <w:trPr>
          <w:trHeight w:val="965"/>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F53A95" w:rsidR="00893ED9" w:rsidRDefault="003D4D07" w:rsidRPr="00A44255">
            <w:pPr>
              <w:spacing w:after="0" w:line="240" w:lineRule="auto"/>
              <w:rPr>
                <w:rFonts w:ascii="Verdana" w:eastAsia="Times New Roman" w:hAnsi="Verdana"/>
                <w:bCs/>
                <w:spacing w:val="-10"/>
                <w:sz w:val="18"/>
                <w:lang w:eastAsia="en-GB"/>
              </w:rPr>
            </w:pPr>
            <w:r>
              <w:rPr>
                <w:rFonts w:ascii="Verdana" w:eastAsia="Times New Roman" w:hAnsi="Verdana"/>
                <w:bCs/>
                <w:noProof/>
                <w:spacing w:val="-10"/>
                <w:sz w:val="18"/>
                <w:lang w:eastAsia="en-GB"/>
              </w:rPr>
              <w:t>The methodology for calculating the technical progress of this activity is based on the weighted percentage technical progress. The value of the technical progress of 13 % includes performed activities within milestones 14,15 and 16, while the achieved technical progress of the milestones corresponds to the following percentage values: milestone 14 – 1 %, milestone 15 – 2 %, milestone 16 is complete 10% out of a total of 50%. </w:t>
            </w:r>
          </w:p>
        </w:tc>
      </w:tr>
      <w:tr w:rsidR="00893ED9" w:rsidRPr="00DE090B" w:rsidTr="00275274">
        <w:trPr>
          <w:trHeight w:val="1370"/>
          <w:jc w:val="center"/>
        </w:trPr>
        <w:tc>
          <w:tcPr>
            <w:tcW w:type="dxa" w:w="1241"/>
            <w:tcBorders>
              <w:top w:val="nil"/>
              <w:left w:color="auto" w:space="0" w:sz="12" w:val="single"/>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Milestone no</w:t>
            </w:r>
          </w:p>
        </w:tc>
        <w:tc>
          <w:tcPr>
            <w:tcW w:type="dxa" w:w="2673"/>
            <w:tcBorders>
              <w:top w:val="nil"/>
              <w:left w:val="nil"/>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Title</w:t>
            </w:r>
            <w:r w:rsidRPr="00DE090B">
              <w:rPr>
                <w:rFonts w:ascii="Verdana" w:eastAsia="Times New Roman" w:hAnsi="Verdana"/>
                <w:b/>
                <w:bCs/>
                <w:sz w:val="18"/>
                <w:vertAlign w:val="superscript"/>
                <w:lang w:eastAsia="en-GB"/>
              </w:rPr>
              <w:t>1</w:t>
            </w:r>
          </w:p>
        </w:tc>
        <w:tc>
          <w:tcPr>
            <w:tcW w:type="dxa" w:w="2937"/>
            <w:gridSpan w:val="2"/>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completion date</w:t>
            </w:r>
            <w:r w:rsidR="002E2FFD">
              <w:rPr>
                <w:rFonts w:ascii="Verdana" w:eastAsia="Times New Roman" w:hAnsi="Verdana"/>
                <w:b/>
                <w:bCs/>
                <w:spacing w:val="-10"/>
                <w:sz w:val="18"/>
                <w:lang w:eastAsia="en-GB"/>
              </w:rPr>
              <w:t xml:space="preserve"> </w:t>
            </w:r>
            <w:r w:rsidR="002E2FFD" w:rsidRPr="00DE090B">
              <w:rPr>
                <w:rFonts w:ascii="Verdana" w:eastAsia="Times New Roman" w:hAnsi="Verdana"/>
                <w:b/>
                <w:bCs/>
                <w:spacing w:val="-10"/>
                <w:sz w:val="18"/>
                <w:vertAlign w:val="superscript"/>
                <w:lang w:eastAsia="en-GB"/>
              </w:rPr>
              <w:t>(GA)</w:t>
            </w:r>
          </w:p>
        </w:tc>
        <w:tc>
          <w:tcPr>
            <w:tcW w:type="dxa" w:w="2942"/>
            <w:gridSpan w:val="3"/>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date</w:t>
            </w:r>
          </w:p>
        </w:tc>
        <w:tc>
          <w:tcPr>
            <w:tcW w:type="dxa" w:w="2931"/>
            <w:gridSpan w:val="2"/>
            <w:tcBorders>
              <w:top w:color="auto" w:space="0" w:sz="12" w:val="single"/>
              <w:left w:val="nil"/>
              <w:bottom w:color="auto" w:space="0" w:sz="12" w:val="single"/>
              <w:right w:color="000000" w:space="0" w:sz="8" w:val="single"/>
            </w:tcBorders>
            <w:shd w:color="auto" w:fill="auto" w:val="clear"/>
            <w:vAlign w:val="center"/>
            <w:hideMark/>
          </w:tcPr>
          <w:p w:rsidP="004B31A7"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completion date</w:t>
            </w:r>
          </w:p>
        </w:tc>
        <w:tc>
          <w:tcPr>
            <w:tcW w:type="dxa" w:w="2153"/>
            <w:tcBorders>
              <w:top w:val="nil"/>
              <w:left w:val="nil"/>
              <w:bottom w:color="auto" w:space="0" w:sz="12" w:val="single"/>
              <w:right w:color="auto" w:space="0" w:sz="8" w:val="single"/>
            </w:tcBorders>
            <w:shd w:color="auto" w:fill="auto"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Reached (Y/N)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14</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Start of the Construction works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05/07/2023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01/06/2023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24/07/2023</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Based on the decision of ŽSR, internal construction supervision was entrusted with the Authority for Construction by ŽSR, and from May 9, 2023, it carried out activities related to construction supervision until July 24, 2023.</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15</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First interim supervision report on construction works completed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14/01/2024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01/12/2023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15/01/2024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According to the Contract for construction works supervision the report shall be submitted to the beneficiary within 14 days after the end of the period for which the report is being made (the reporting period). The first interim report was submitted with only a day delay on 15 January 2024.</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16</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Second interim supervision report on construction works completed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14/07/2024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01/07/2024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14/07/2024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17</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Completion of construction works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30/06/2025</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According to the contract the construction works supervision continues for another 6 months after the completion of construction works.</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18</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Completion of author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19</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Taking Over certificate issued </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bl>
    <w:p w:rsidR="00AB2D5F" w:rsidRDefault="00E035B3">
      <w:pPr>
        <w:sectPr w:rsidR="00AB2D5F" w:rsidSect="00AB2D5F">
          <w:pgSz w:h="11906" w:orient="landscape" w:w="16838"/>
          <w:pgMar w:bottom="1440" w:footer="709" w:gutter="0" w:header="709" w:left="1440" w:right="737" w:top="1440"/>
          <w:cols w:space="708"/>
          <w:docGrid w:linePitch="360"/>
        </w:sectPr>
      </w:pPr>
      <w:r w:rsidR="00F51FEF">
        <w:rPr>
          <w:noProof/>
        </w:rPr>
        <w:t/>
      </w:r>
      <w:r w:rsidR="00F51FEF">
        <w:t xml:space="preserve"> </w:t>
      </w:r>
    </w:p>
    <w:tbl>
      <w:tblPr>
        <w:tblW w:type="pct" w:w="5000"/>
        <w:jc w:val="center"/>
        <w:tblLayout w:type="fixed"/>
        <w:tblLook w:firstColumn="1" w:firstRow="1" w:lastColumn="0" w:lastRow="0" w:noHBand="0" w:noVBand="1" w:val="04A0"/>
      </w:tblPr>
      <w:tblGrid>
        <w:gridCol w:w="1241"/>
        <w:gridCol w:w="2673"/>
        <w:gridCol w:w="1468"/>
        <w:gridCol w:w="1469"/>
        <w:gridCol w:w="1468"/>
        <w:gridCol w:w="1468"/>
        <w:gridCol w:w="6"/>
        <w:gridCol w:w="1462"/>
        <w:gridCol w:w="1469"/>
        <w:gridCol w:w="2153"/>
      </w:tblGrid>
      <w:tr w:rsidR="000C4B70" w:rsidRPr="00DE090B" w:rsidTr="00275274">
        <w:trPr>
          <w:trHeight w:val="2460"/>
          <w:jc w:val="center"/>
        </w:trPr>
        <w:tc>
          <w:tcPr>
            <w:tcW w:type="dxa" w:w="1241"/>
            <w:tcBorders>
              <w:top w:color="auto" w:space="0" w:sz="12" w:val="single"/>
              <w:left w:color="auto" w:space="0" w:sz="12" w:val="single"/>
              <w:right w:color="auto" w:space="0" w:sz="8" w:val="single"/>
            </w:tcBorders>
            <w:shd w:color="auto" w:fill="auto" w:val="clear"/>
            <w:vAlign w:val="center"/>
            <w:hideMark/>
          </w:tcPr>
          <w:p w:rsidP="008607F6" w:rsidR="000C4B70" w:rsidRDefault="0020360A" w:rsidRPr="00DE090B">
            <w:pPr>
              <w:spacing w:after="0" w:line="240" w:lineRule="auto"/>
              <w:rPr>
                <w:rFonts w:ascii="Verdana" w:eastAsia="Times New Roman" w:hAnsi="Verdana"/>
                <w:b/>
                <w:bCs/>
                <w:sz w:val="18"/>
                <w:lang w:eastAsia="en-GB"/>
              </w:rPr>
            </w:pPr>
            <w:r>
              <w:rPr>
                <w:rFonts w:ascii="Verdana" w:eastAsia="Times New Roman" w:hAnsi="Verdana"/>
                <w:b/>
                <w:bCs/>
                <w:spacing w:val="-10"/>
                <w:sz w:val="18"/>
                <w:lang w:eastAsia="en-GB"/>
              </w:rPr>
              <w:t xml:space="preserve">Activity </w:t>
            </w:r>
            <w:r w:rsidR="008607F6">
              <w:rPr>
                <w:rFonts w:ascii="Verdana" w:eastAsia="Times New Roman" w:hAnsi="Verdana"/>
                <w:b/>
                <w:bCs/>
                <w:noProof/>
                <w:spacing w:val="-10"/>
                <w:sz w:val="18"/>
                <w:lang w:eastAsia="en-GB"/>
              </w:rPr>
              <w:t>3</w:t>
            </w:r>
          </w:p>
        </w:tc>
        <w:tc>
          <w:tcPr>
            <w:tcW w:type="dxa" w:w="2673"/>
            <w:tcBorders>
              <w:top w:color="auto" w:space="0" w:sz="12" w:val="single"/>
              <w:left w:color="auto" w:space="0" w:sz="8" w:val="single"/>
              <w:bottom w:color="000000" w:space="0" w:sz="12" w:val="single"/>
              <w:right w:color="auto"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Title</w:t>
            </w:r>
          </w:p>
        </w:tc>
        <w:tc>
          <w:tcPr>
            <w:tcW w:type="dxa" w:w="2937"/>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Start/End date</w:t>
            </w:r>
            <w:r w:rsidRPr="00DE090B">
              <w:rPr>
                <w:rFonts w:ascii="Verdana" w:eastAsia="Times New Roman" w:hAnsi="Verdana"/>
                <w:b/>
                <w:bCs/>
                <w:spacing w:val="-10"/>
                <w:sz w:val="18"/>
                <w:vertAlign w:val="superscript"/>
                <w:lang w:eastAsia="en-GB"/>
              </w:rPr>
              <w:t xml:space="preserve"> (GA)</w:t>
            </w:r>
            <w:r w:rsidRPr="00DE090B">
              <w:rPr>
                <w:rFonts w:ascii="Verdana" w:eastAsia="Times New Roman" w:hAnsi="Verdana"/>
                <w:b/>
                <w:bCs/>
                <w:spacing w:val="-10"/>
                <w:sz w:val="18"/>
                <w:lang w:eastAsia="en-GB"/>
              </w:rPr>
              <w:t xml:space="preserve"> </w:t>
            </w:r>
          </w:p>
        </w:tc>
        <w:tc>
          <w:tcPr>
            <w:tcW w:type="dxa" w:w="2936"/>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Start/end dates </w:t>
            </w:r>
          </w:p>
        </w:tc>
        <w:tc>
          <w:tcPr>
            <w:tcW w:type="dxa" w:w="2937"/>
            <w:gridSpan w:val="3"/>
            <w:tcBorders>
              <w:top w:color="auto" w:space="0" w:sz="12" w:val="single"/>
              <w:left w:color="auto" w:space="0" w:sz="8" w:val="single"/>
              <w:bottom w:color="000000" w:space="0" w:sz="12" w:val="single"/>
              <w:right w:color="000000" w:space="0" w:sz="8" w:val="single"/>
            </w:tcBorders>
            <w:shd w:color="auto" w:fill="auto" w:val="clear"/>
            <w:vAlign w:val="center"/>
            <w:hideMark/>
          </w:tcPr>
          <w:p w:rsidP="004B31A7"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Start/End date</w:t>
            </w:r>
          </w:p>
        </w:tc>
        <w:tc>
          <w:tcPr>
            <w:tcW w:type="dxa" w:w="2153"/>
            <w:tcBorders>
              <w:top w:color="auto" w:space="0" w:sz="12" w:val="single"/>
              <w:left w:color="auto" w:space="0" w:sz="8" w:val="single"/>
              <w:bottom w:color="000000" w:space="0" w:sz="12" w:val="single"/>
              <w:right w:color="auto" w:space="0" w:sz="8" w:val="single"/>
            </w:tcBorders>
            <w:shd w:color="auto" w:fill="auto" w:val="clear"/>
            <w:vAlign w:val="center"/>
            <w:hideMark/>
          </w:tcPr>
          <w:p w:rsidP="002E2FFD" w:rsidR="000C4B70" w:rsidRDefault="00462537"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Overall technical</w:t>
            </w:r>
            <w:r w:rsidR="00242468">
              <w:rPr>
                <w:rFonts w:ascii="Verdana" w:eastAsia="Times New Roman" w:hAnsi="Verdana"/>
                <w:b/>
                <w:bCs/>
                <w:spacing w:val="-10"/>
                <w:sz w:val="18"/>
                <w:lang w:eastAsia="en-GB"/>
              </w:rPr>
              <w:t xml:space="preserve"> p</w:t>
            </w:r>
            <w:r w:rsidR="000C4B70" w:rsidRPr="00DE090B">
              <w:rPr>
                <w:rFonts w:ascii="Verdana" w:eastAsia="Times New Roman" w:hAnsi="Verdana"/>
                <w:b/>
                <w:bCs/>
                <w:spacing w:val="-10"/>
                <w:sz w:val="18"/>
                <w:lang w:eastAsia="en-GB"/>
              </w:rPr>
              <w:t xml:space="preserve">rogress achieved </w:t>
            </w:r>
            <w:r w:rsidR="002E2FFD">
              <w:rPr>
                <w:rFonts w:ascii="Verdana" w:eastAsia="Times New Roman" w:hAnsi="Verdana"/>
                <w:b/>
                <w:bCs/>
                <w:spacing w:val="-10"/>
                <w:sz w:val="18"/>
                <w:lang w:eastAsia="en-GB"/>
              </w:rPr>
              <w:t>until</w:t>
            </w:r>
            <w:r w:rsidR="000C4B70" w:rsidRPr="00DE090B">
              <w:rPr>
                <w:rFonts w:ascii="Verdana" w:eastAsia="Times New Roman" w:hAnsi="Verdana"/>
                <w:b/>
                <w:bCs/>
                <w:spacing w:val="-10"/>
                <w:sz w:val="18"/>
                <w:lang w:eastAsia="en-GB"/>
              </w:rPr>
              <w:t xml:space="preserve"> the end of the </w:t>
            </w:r>
            <w:r w:rsidR="002E2FFD">
              <w:rPr>
                <w:rFonts w:ascii="Verdana" w:eastAsia="Times New Roman" w:hAnsi="Verdana"/>
                <w:b/>
                <w:bCs/>
                <w:spacing w:val="-10"/>
                <w:sz w:val="18"/>
                <w:lang w:eastAsia="en-GB"/>
              </w:rPr>
              <w:t xml:space="preserve">previous </w:t>
            </w:r>
            <w:r w:rsidR="000C4B70" w:rsidRPr="00DE090B">
              <w:rPr>
                <w:rFonts w:ascii="Verdana" w:eastAsia="Times New Roman" w:hAnsi="Verdana"/>
                <w:b/>
                <w:bCs/>
                <w:spacing w:val="-10"/>
                <w:sz w:val="18"/>
                <w:lang w:eastAsia="en-GB"/>
              </w:rPr>
              <w:t>reporting period (%)</w:t>
            </w:r>
            <w:r w:rsidR="000C4B70">
              <w:rPr>
                <w:rFonts w:ascii="Verdana" w:eastAsia="Times New Roman" w:hAnsi="Verdana"/>
                <w:b/>
                <w:bCs/>
                <w:spacing w:val="-10"/>
                <w:sz w:val="18"/>
                <w:lang w:eastAsia="en-GB"/>
              </w:rPr>
              <w:t>*</w:t>
            </w:r>
          </w:p>
        </w:tc>
      </w:tr>
      <w:tr w:rsidR="00893ED9" w:rsidRPr="00160F69" w:rsidTr="00275274">
        <w:trPr>
          <w:trHeight w:val="310"/>
          <w:jc w:val="center"/>
        </w:trPr>
        <w:tc>
          <w:tcPr>
            <w:tcW w:type="dxa" w:w="1241"/>
            <w:tcBorders>
              <w:top w:val="nil"/>
              <w:left w:color="auto" w:space="0" w:sz="12" w:val="single"/>
              <w:bottom w:color="auto" w:space="0" w:sz="12" w:val="single"/>
              <w:right w:color="auto" w:space="0" w:sz="8" w:val="single"/>
            </w:tcBorders>
            <w:shd w:color="auto" w:fill="auto" w:val="clear"/>
            <w:vAlign w:val="center"/>
            <w:hideMark/>
          </w:tcPr>
          <w:p w:rsidP="00887EE8" w:rsidR="00893ED9" w:rsidRDefault="00893ED9" w:rsidRPr="00160F69">
            <w:pPr>
              <w:spacing w:after="0" w:line="240" w:lineRule="auto"/>
              <w:jc w:val="both"/>
              <w:rPr>
                <w:rFonts w:ascii="Verdana" w:eastAsia="Times New Roman" w:hAnsi="Verdana"/>
                <w:b/>
                <w:bCs/>
                <w:lang w:eastAsia="en-GB"/>
              </w:rPr>
            </w:pPr>
            <w:r w:rsidRPr="00160F69">
              <w:rPr>
                <w:rFonts w:ascii="Verdana" w:eastAsia="Times New Roman" w:hAnsi="Verdana"/>
                <w:b/>
                <w:bCs/>
                <w:spacing w:val="-10"/>
                <w:lang w:eastAsia="en-GB"/>
              </w:rPr>
              <w:t> </w:t>
            </w:r>
          </w:p>
        </w:tc>
        <w:tc>
          <w:tcPr>
            <w:tcW w:type="dxa" w:w="2673"/>
            <w:tcBorders>
              <w:top w:val="nil"/>
              <w:left w:val="nil"/>
              <w:bottom w:color="auto" w:space="0" w:sz="12" w:val="single"/>
              <w:right w:color="auto" w:space="0" w:sz="8" w:val="single"/>
            </w:tcBorders>
            <w:shd w:color="000000" w:fill="FFFFFF" w:val="clear"/>
            <w:vAlign w:val="center"/>
            <w:hideMark/>
          </w:tcPr>
          <w:p w:rsidP="00893ED9" w:rsidR="00893ED9" w:rsidRDefault="00893ED9" w:rsidRPr="0049608D">
            <w:pPr>
              <w:spacing w:after="0" w:line="240" w:lineRule="auto"/>
              <w:rPr>
                <w:rFonts w:ascii="Verdana" w:eastAsia="Times New Roman" w:hAnsi="Verdana"/>
                <w:sz w:val="18"/>
                <w:szCs w:val="18"/>
                <w:lang w:eastAsia="en-GB"/>
              </w:rPr>
            </w:pPr>
            <w:r w:rsidRPr="0049608D">
              <w:rPr>
                <w:rFonts w:ascii="Verdana" w:eastAsia="Times New Roman" w:hAnsi="Verdana"/>
                <w:noProof/>
                <w:sz w:val="18"/>
                <w:szCs w:val="18"/>
                <w:lang w:eastAsia="en-GB"/>
              </w:rPr>
              <w:t>Construction works</w:t>
            </w:r>
          </w:p>
        </w:tc>
        <w:tc>
          <w:tcPr>
            <w:tcW w:type="dxa" w:w="1468"/>
            <w:tcBorders>
              <w:top w:val="nil"/>
              <w:left w:val="nil"/>
              <w:bottom w:color="auto" w:space="0" w:sz="12" w:val="single"/>
              <w:right w:color="auto" w:space="0" w:sz="8" w:val="single"/>
            </w:tcBorders>
            <w:shd w:color="000000" w:fill="FFFFFF" w:val="clear"/>
            <w:vAlign w:val="center"/>
            <w:hideMark/>
          </w:tcPr>
          <w:p w:rsidP="00A022CE" w:rsidR="00FA3869" w:rsidRDefault="00BD647E" w:rsidRPr="0049608D">
            <w:pPr>
              <w:spacing w:after="0" w:line="240" w:lineRule="auto"/>
              <w:rPr>
                <w:rFonts w:ascii="Verdana" w:eastAsia="Times New Roman" w:hAnsi="Verdana"/>
                <w:sz w:val="18"/>
                <w:szCs w:val="18"/>
                <w:lang w:eastAsia="en-GB"/>
              </w:rPr>
            </w:pPr>
            <w:r w:rsidR="00E6164F">
              <w:rPr>
                <w:rFonts w:ascii="Verdana" w:eastAsia="Times New Roman" w:hAnsi="Verdana"/>
                <w:noProof/>
                <w:sz w:val="18"/>
                <w:szCs w:val="18"/>
                <w:lang w:eastAsia="en-GB"/>
              </w:rPr>
              <w:t>12/04/2023</w:t>
            </w:r>
          </w:p>
        </w:tc>
        <w:tc>
          <w:tcPr>
            <w:tcW w:type="dxa" w:w="1469"/>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31/12/2024</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FE35C9"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28/03/2023</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31/12/2024</w:t>
            </w:r>
          </w:p>
        </w:tc>
        <w:tc>
          <w:tcPr>
            <w:tcW w:type="dxa" w:w="1468"/>
            <w:gridSpan w:val="2"/>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12/04/2023</w:t>
            </w:r>
          </w:p>
        </w:tc>
        <w:tc>
          <w:tcPr>
            <w:tcW w:type="dxa" w:w="1469"/>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sidR="007E1A22">
              <w:rPr>
                <w:rFonts w:ascii="Verdana" w:eastAsia="Times New Roman" w:hAnsi="Verdana"/>
                <w:noProof/>
                <w:sz w:val="18"/>
                <w:szCs w:val="18"/>
                <w:lang w:eastAsia="en-GB"/>
              </w:rPr>
              <w:t>31/12/2024</w:t>
            </w:r>
          </w:p>
        </w:tc>
        <w:tc>
          <w:tcPr>
            <w:tcW w:type="dxa" w:w="2153"/>
            <w:tcBorders>
              <w:top w:val="nil"/>
              <w:left w:val="nil"/>
              <w:bottom w:color="auto" w:space="0" w:sz="12" w:val="single"/>
              <w:right w:color="auto" w:space="0" w:sz="8" w:val="single"/>
            </w:tcBorders>
            <w:shd w:color="auto" w:fill="auto" w:val="clear"/>
            <w:vAlign w:val="center"/>
            <w:hideMark/>
          </w:tcPr>
          <w:p w:rsidP="00816707" w:rsidR="00893ED9" w:rsidRDefault="00E658FD" w:rsidRPr="0049608D">
            <w:pPr>
              <w:spacing w:after="0" w:line="240" w:lineRule="auto"/>
              <w:jc w:val="center"/>
              <w:rPr>
                <w:rFonts w:ascii="Verdana" w:eastAsia="Times New Roman" w:hAnsi="Verdana"/>
                <w:sz w:val="18"/>
                <w:szCs w:val="18"/>
                <w:lang w:eastAsia="en-GB"/>
              </w:rPr>
            </w:pPr>
            <w:r>
              <w:rPr>
                <w:rFonts w:ascii="Verdana" w:eastAsia="Times New Roman" w:hAnsi="Verdana"/>
                <w:noProof/>
                <w:sz w:val="18"/>
                <w:szCs w:val="18"/>
                <w:lang w:eastAsia="en-GB"/>
              </w:rPr>
              <w:t>11.00</w:t>
            </w:r>
          </w:p>
        </w:tc>
      </w:tr>
      <w:tr w:rsidR="00893ED9" w:rsidRPr="00DE090B" w:rsidTr="00F51FEF">
        <w:trPr>
          <w:trHeight w:val="476"/>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887EE8" w:rsidR="00893ED9" w:rsidRDefault="00893ED9" w:rsidRPr="00DE090B">
            <w:pPr>
              <w:spacing w:after="0" w:line="240" w:lineRule="auto"/>
              <w:jc w:val="center"/>
              <w:rPr>
                <w:rFonts w:ascii="Verdana" w:eastAsia="Times New Roman" w:hAnsi="Verdana"/>
                <w:b/>
                <w:bCs/>
                <w:spacing w:val="-10"/>
                <w:sz w:val="18"/>
                <w:lang w:eastAsia="en-G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893ED9" w:rsidRPr="00DE090B" w:rsidTr="00F53A95">
        <w:trPr>
          <w:trHeight w:val="965"/>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F53A95" w:rsidR="00893ED9" w:rsidRDefault="003D4D07" w:rsidRPr="00A44255">
            <w:pPr>
              <w:spacing w:after="0" w:line="240" w:lineRule="auto"/>
              <w:rPr>
                <w:rFonts w:ascii="Verdana" w:eastAsia="Times New Roman" w:hAnsi="Verdana"/>
                <w:bCs/>
                <w:spacing w:val="-10"/>
                <w:sz w:val="18"/>
                <w:lang w:eastAsia="en-GB"/>
              </w:rPr>
            </w:pPr>
            <w:r>
              <w:rPr>
                <w:rFonts w:ascii="Verdana" w:eastAsia="Times New Roman" w:hAnsi="Verdana"/>
                <w:bCs/>
                <w:noProof/>
                <w:spacing w:val="-10"/>
                <w:sz w:val="18"/>
                <w:lang w:eastAsia="en-GB"/>
              </w:rPr>
              <w:t>The methodology for calculating the technical progress of this activity is based on the weighted percentage technical progress. The value of the technical progress of 11 % includes performed activities within milestones 20 and 22, while the achieved technical progress of the milestones corresponds to the following percentage values: milestone 20 – 1 %, milestone  22 is complete 10% out of a total of 70%.</w:t>
            </w:r>
          </w:p>
        </w:tc>
      </w:tr>
      <w:tr w:rsidR="00893ED9" w:rsidRPr="00DE090B" w:rsidTr="00275274">
        <w:trPr>
          <w:trHeight w:val="1370"/>
          <w:jc w:val="center"/>
        </w:trPr>
        <w:tc>
          <w:tcPr>
            <w:tcW w:type="dxa" w:w="1241"/>
            <w:tcBorders>
              <w:top w:val="nil"/>
              <w:left w:color="auto" w:space="0" w:sz="12" w:val="single"/>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Milestone no</w:t>
            </w:r>
          </w:p>
        </w:tc>
        <w:tc>
          <w:tcPr>
            <w:tcW w:type="dxa" w:w="2673"/>
            <w:tcBorders>
              <w:top w:val="nil"/>
              <w:left w:val="nil"/>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Title</w:t>
            </w:r>
            <w:r w:rsidRPr="00DE090B">
              <w:rPr>
                <w:rFonts w:ascii="Verdana" w:eastAsia="Times New Roman" w:hAnsi="Verdana"/>
                <w:b/>
                <w:bCs/>
                <w:sz w:val="18"/>
                <w:vertAlign w:val="superscript"/>
                <w:lang w:eastAsia="en-GB"/>
              </w:rPr>
              <w:t>1</w:t>
            </w:r>
          </w:p>
        </w:tc>
        <w:tc>
          <w:tcPr>
            <w:tcW w:type="dxa" w:w="2937"/>
            <w:gridSpan w:val="2"/>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completion date</w:t>
            </w:r>
            <w:r w:rsidR="002E2FFD">
              <w:rPr>
                <w:rFonts w:ascii="Verdana" w:eastAsia="Times New Roman" w:hAnsi="Verdana"/>
                <w:b/>
                <w:bCs/>
                <w:spacing w:val="-10"/>
                <w:sz w:val="18"/>
                <w:lang w:eastAsia="en-GB"/>
              </w:rPr>
              <w:t xml:space="preserve"> </w:t>
            </w:r>
            <w:r w:rsidR="002E2FFD" w:rsidRPr="00DE090B">
              <w:rPr>
                <w:rFonts w:ascii="Verdana" w:eastAsia="Times New Roman" w:hAnsi="Verdana"/>
                <w:b/>
                <w:bCs/>
                <w:spacing w:val="-10"/>
                <w:sz w:val="18"/>
                <w:vertAlign w:val="superscript"/>
                <w:lang w:eastAsia="en-GB"/>
              </w:rPr>
              <w:t>(GA)</w:t>
            </w:r>
          </w:p>
        </w:tc>
        <w:tc>
          <w:tcPr>
            <w:tcW w:type="dxa" w:w="2942"/>
            <w:gridSpan w:val="3"/>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date</w:t>
            </w:r>
          </w:p>
        </w:tc>
        <w:tc>
          <w:tcPr>
            <w:tcW w:type="dxa" w:w="2931"/>
            <w:gridSpan w:val="2"/>
            <w:tcBorders>
              <w:top w:color="auto" w:space="0" w:sz="12" w:val="single"/>
              <w:left w:val="nil"/>
              <w:bottom w:color="auto" w:space="0" w:sz="12" w:val="single"/>
              <w:right w:color="000000" w:space="0" w:sz="8" w:val="single"/>
            </w:tcBorders>
            <w:shd w:color="auto" w:fill="auto" w:val="clear"/>
            <w:vAlign w:val="center"/>
            <w:hideMark/>
          </w:tcPr>
          <w:p w:rsidP="004B31A7"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completion date</w:t>
            </w:r>
          </w:p>
        </w:tc>
        <w:tc>
          <w:tcPr>
            <w:tcW w:type="dxa" w:w="2153"/>
            <w:tcBorders>
              <w:top w:val="nil"/>
              <w:left w:val="nil"/>
              <w:bottom w:color="auto" w:space="0" w:sz="12" w:val="single"/>
              <w:right w:color="auto" w:space="0" w:sz="8" w:val="single"/>
            </w:tcBorders>
            <w:shd w:color="auto" w:fill="auto"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Reached (Y/N)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20</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Start of the construction works on the Varín – Košice – Čierna nad Tisou section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12/04/2023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28/03/2023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12/04/2023</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shift of term is due to shift of term for milestones 8.</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21</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Interoperability Constituents conformity</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31/07/2024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01/07/2023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31/07/2024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22</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Tests completed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01/09/2024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01/09/2024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01/09/2024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23</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Subsystem verification of the Varín – Košice – Čierna nad Tisou section </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01/10/2024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01/10/2024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01/10/2024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24</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Authorisation of the Varín – Košice – Čierna nad Tisou state border section by a competent authority </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25</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As-built documentation completed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bl>
    <w:p w:rsidR="00AB2D5F" w:rsidRDefault="00E035B3">
      <w:pPr>
        <w:sectPr w:rsidR="00AB2D5F" w:rsidSect="00AB2D5F">
          <w:pgSz w:h="11906" w:orient="landscape" w:w="16838"/>
          <w:pgMar w:bottom="1440" w:footer="709" w:gutter="0" w:header="709" w:left="1440" w:right="737" w:top="1440"/>
          <w:cols w:space="708"/>
          <w:docGrid w:linePitch="360"/>
        </w:sectPr>
      </w:pPr>
      <w:r w:rsidR="00F51FEF">
        <w:rPr>
          <w:noProof/>
        </w:rPr>
        <w:t/>
      </w:r>
      <w:r w:rsidR="00F51FEF">
        <w:t xml:space="preserve"> </w:t>
      </w:r>
    </w:p>
    <w:tbl>
      <w:tblPr>
        <w:tblW w:type="pct" w:w="5000"/>
        <w:jc w:val="center"/>
        <w:tblLayout w:type="fixed"/>
        <w:tblLook w:firstColumn="1" w:firstRow="1" w:lastColumn="0" w:lastRow="0" w:noHBand="0" w:noVBand="1" w:val="04A0"/>
      </w:tblPr>
      <w:tblGrid>
        <w:gridCol w:w="1241"/>
        <w:gridCol w:w="2673"/>
        <w:gridCol w:w="1468"/>
        <w:gridCol w:w="1469"/>
        <w:gridCol w:w="1468"/>
        <w:gridCol w:w="1468"/>
        <w:gridCol w:w="6"/>
        <w:gridCol w:w="1462"/>
        <w:gridCol w:w="1469"/>
        <w:gridCol w:w="2153"/>
      </w:tblGrid>
      <w:tr w:rsidR="000C4B70" w:rsidRPr="00DE090B" w:rsidTr="00275274">
        <w:trPr>
          <w:trHeight w:val="2460"/>
          <w:jc w:val="center"/>
        </w:trPr>
        <w:tc>
          <w:tcPr>
            <w:tcW w:type="dxa" w:w="1241"/>
            <w:tcBorders>
              <w:top w:color="auto" w:space="0" w:sz="12" w:val="single"/>
              <w:left w:color="auto" w:space="0" w:sz="12" w:val="single"/>
              <w:right w:color="auto" w:space="0" w:sz="8" w:val="single"/>
            </w:tcBorders>
            <w:shd w:color="auto" w:fill="auto" w:val="clear"/>
            <w:vAlign w:val="center"/>
            <w:hideMark/>
          </w:tcPr>
          <w:p w:rsidP="008607F6" w:rsidR="000C4B70" w:rsidRDefault="0020360A" w:rsidRPr="00DE090B">
            <w:pPr>
              <w:spacing w:after="0" w:line="240" w:lineRule="auto"/>
              <w:rPr>
                <w:rFonts w:ascii="Verdana" w:eastAsia="Times New Roman" w:hAnsi="Verdana"/>
                <w:b/>
                <w:bCs/>
                <w:sz w:val="18"/>
                <w:lang w:eastAsia="en-GB"/>
              </w:rPr>
            </w:pPr>
            <w:r>
              <w:rPr>
                <w:rFonts w:ascii="Verdana" w:eastAsia="Times New Roman" w:hAnsi="Verdana"/>
                <w:b/>
                <w:bCs/>
                <w:spacing w:val="-10"/>
                <w:sz w:val="18"/>
                <w:lang w:eastAsia="en-GB"/>
              </w:rPr>
              <w:t xml:space="preserve">Activity </w:t>
            </w:r>
            <w:r w:rsidR="008607F6">
              <w:rPr>
                <w:rFonts w:ascii="Verdana" w:eastAsia="Times New Roman" w:hAnsi="Verdana"/>
                <w:b/>
                <w:bCs/>
                <w:noProof/>
                <w:spacing w:val="-10"/>
                <w:sz w:val="18"/>
                <w:lang w:eastAsia="en-GB"/>
              </w:rPr>
              <w:t>4</w:t>
            </w:r>
          </w:p>
        </w:tc>
        <w:tc>
          <w:tcPr>
            <w:tcW w:type="dxa" w:w="2673"/>
            <w:tcBorders>
              <w:top w:color="auto" w:space="0" w:sz="12" w:val="single"/>
              <w:left w:color="auto" w:space="0" w:sz="8" w:val="single"/>
              <w:bottom w:color="000000" w:space="0" w:sz="12" w:val="single"/>
              <w:right w:color="auto"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Title</w:t>
            </w:r>
          </w:p>
        </w:tc>
        <w:tc>
          <w:tcPr>
            <w:tcW w:type="dxa" w:w="2937"/>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Start/End date</w:t>
            </w:r>
            <w:r w:rsidRPr="00DE090B">
              <w:rPr>
                <w:rFonts w:ascii="Verdana" w:eastAsia="Times New Roman" w:hAnsi="Verdana"/>
                <w:b/>
                <w:bCs/>
                <w:spacing w:val="-10"/>
                <w:sz w:val="18"/>
                <w:vertAlign w:val="superscript"/>
                <w:lang w:eastAsia="en-GB"/>
              </w:rPr>
              <w:t xml:space="preserve"> (GA)</w:t>
            </w:r>
            <w:r w:rsidRPr="00DE090B">
              <w:rPr>
                <w:rFonts w:ascii="Verdana" w:eastAsia="Times New Roman" w:hAnsi="Verdana"/>
                <w:b/>
                <w:bCs/>
                <w:spacing w:val="-10"/>
                <w:sz w:val="18"/>
                <w:lang w:eastAsia="en-GB"/>
              </w:rPr>
              <w:t xml:space="preserve"> </w:t>
            </w:r>
          </w:p>
        </w:tc>
        <w:tc>
          <w:tcPr>
            <w:tcW w:type="dxa" w:w="2936"/>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Start/end dates </w:t>
            </w:r>
          </w:p>
        </w:tc>
        <w:tc>
          <w:tcPr>
            <w:tcW w:type="dxa" w:w="2937"/>
            <w:gridSpan w:val="3"/>
            <w:tcBorders>
              <w:top w:color="auto" w:space="0" w:sz="12" w:val="single"/>
              <w:left w:color="auto" w:space="0" w:sz="8" w:val="single"/>
              <w:bottom w:color="000000" w:space="0" w:sz="12" w:val="single"/>
              <w:right w:color="000000" w:space="0" w:sz="8" w:val="single"/>
            </w:tcBorders>
            <w:shd w:color="auto" w:fill="auto" w:val="clear"/>
            <w:vAlign w:val="center"/>
            <w:hideMark/>
          </w:tcPr>
          <w:p w:rsidP="004B31A7"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Start/End date</w:t>
            </w:r>
          </w:p>
        </w:tc>
        <w:tc>
          <w:tcPr>
            <w:tcW w:type="dxa" w:w="2153"/>
            <w:tcBorders>
              <w:top w:color="auto" w:space="0" w:sz="12" w:val="single"/>
              <w:left w:color="auto" w:space="0" w:sz="8" w:val="single"/>
              <w:bottom w:color="000000" w:space="0" w:sz="12" w:val="single"/>
              <w:right w:color="auto" w:space="0" w:sz="8" w:val="single"/>
            </w:tcBorders>
            <w:shd w:color="auto" w:fill="auto" w:val="clear"/>
            <w:vAlign w:val="center"/>
            <w:hideMark/>
          </w:tcPr>
          <w:p w:rsidP="002E2FFD" w:rsidR="000C4B70" w:rsidRDefault="00462537"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Overall technical</w:t>
            </w:r>
            <w:r w:rsidR="00242468">
              <w:rPr>
                <w:rFonts w:ascii="Verdana" w:eastAsia="Times New Roman" w:hAnsi="Verdana"/>
                <w:b/>
                <w:bCs/>
                <w:spacing w:val="-10"/>
                <w:sz w:val="18"/>
                <w:lang w:eastAsia="en-GB"/>
              </w:rPr>
              <w:t xml:space="preserve"> p</w:t>
            </w:r>
            <w:r w:rsidR="000C4B70" w:rsidRPr="00DE090B">
              <w:rPr>
                <w:rFonts w:ascii="Verdana" w:eastAsia="Times New Roman" w:hAnsi="Verdana"/>
                <w:b/>
                <w:bCs/>
                <w:spacing w:val="-10"/>
                <w:sz w:val="18"/>
                <w:lang w:eastAsia="en-GB"/>
              </w:rPr>
              <w:t xml:space="preserve">rogress achieved </w:t>
            </w:r>
            <w:r w:rsidR="002E2FFD">
              <w:rPr>
                <w:rFonts w:ascii="Verdana" w:eastAsia="Times New Roman" w:hAnsi="Verdana"/>
                <w:b/>
                <w:bCs/>
                <w:spacing w:val="-10"/>
                <w:sz w:val="18"/>
                <w:lang w:eastAsia="en-GB"/>
              </w:rPr>
              <w:t>until</w:t>
            </w:r>
            <w:r w:rsidR="000C4B70" w:rsidRPr="00DE090B">
              <w:rPr>
                <w:rFonts w:ascii="Verdana" w:eastAsia="Times New Roman" w:hAnsi="Verdana"/>
                <w:b/>
                <w:bCs/>
                <w:spacing w:val="-10"/>
                <w:sz w:val="18"/>
                <w:lang w:eastAsia="en-GB"/>
              </w:rPr>
              <w:t xml:space="preserve"> the end of the </w:t>
            </w:r>
            <w:r w:rsidR="002E2FFD">
              <w:rPr>
                <w:rFonts w:ascii="Verdana" w:eastAsia="Times New Roman" w:hAnsi="Verdana"/>
                <w:b/>
                <w:bCs/>
                <w:spacing w:val="-10"/>
                <w:sz w:val="18"/>
                <w:lang w:eastAsia="en-GB"/>
              </w:rPr>
              <w:t xml:space="preserve">previous </w:t>
            </w:r>
            <w:r w:rsidR="000C4B70" w:rsidRPr="00DE090B">
              <w:rPr>
                <w:rFonts w:ascii="Verdana" w:eastAsia="Times New Roman" w:hAnsi="Verdana"/>
                <w:b/>
                <w:bCs/>
                <w:spacing w:val="-10"/>
                <w:sz w:val="18"/>
                <w:lang w:eastAsia="en-GB"/>
              </w:rPr>
              <w:t>reporting period (%)</w:t>
            </w:r>
            <w:r w:rsidR="000C4B70">
              <w:rPr>
                <w:rFonts w:ascii="Verdana" w:eastAsia="Times New Roman" w:hAnsi="Verdana"/>
                <w:b/>
                <w:bCs/>
                <w:spacing w:val="-10"/>
                <w:sz w:val="18"/>
                <w:lang w:eastAsia="en-GB"/>
              </w:rPr>
              <w:t>*</w:t>
            </w:r>
          </w:p>
        </w:tc>
      </w:tr>
      <w:tr w:rsidR="00893ED9" w:rsidRPr="00160F69" w:rsidTr="00275274">
        <w:trPr>
          <w:trHeight w:val="310"/>
          <w:jc w:val="center"/>
        </w:trPr>
        <w:tc>
          <w:tcPr>
            <w:tcW w:type="dxa" w:w="1241"/>
            <w:tcBorders>
              <w:top w:val="nil"/>
              <w:left w:color="auto" w:space="0" w:sz="12" w:val="single"/>
              <w:bottom w:color="auto" w:space="0" w:sz="12" w:val="single"/>
              <w:right w:color="auto" w:space="0" w:sz="8" w:val="single"/>
            </w:tcBorders>
            <w:shd w:color="auto" w:fill="auto" w:val="clear"/>
            <w:vAlign w:val="center"/>
            <w:hideMark/>
          </w:tcPr>
          <w:p w:rsidP="00887EE8" w:rsidR="00893ED9" w:rsidRDefault="00893ED9" w:rsidRPr="00160F69">
            <w:pPr>
              <w:spacing w:after="0" w:line="240" w:lineRule="auto"/>
              <w:jc w:val="both"/>
              <w:rPr>
                <w:rFonts w:ascii="Verdana" w:eastAsia="Times New Roman" w:hAnsi="Verdana"/>
                <w:b/>
                <w:bCs/>
                <w:lang w:eastAsia="en-GB"/>
              </w:rPr>
            </w:pPr>
            <w:r w:rsidRPr="00160F69">
              <w:rPr>
                <w:rFonts w:ascii="Verdana" w:eastAsia="Times New Roman" w:hAnsi="Verdana"/>
                <w:b/>
                <w:bCs/>
                <w:spacing w:val="-10"/>
                <w:lang w:eastAsia="en-GB"/>
              </w:rPr>
              <w:t> </w:t>
            </w:r>
          </w:p>
        </w:tc>
        <w:tc>
          <w:tcPr>
            <w:tcW w:type="dxa" w:w="2673"/>
            <w:tcBorders>
              <w:top w:val="nil"/>
              <w:left w:val="nil"/>
              <w:bottom w:color="auto" w:space="0" w:sz="12" w:val="single"/>
              <w:right w:color="auto" w:space="0" w:sz="8" w:val="single"/>
            </w:tcBorders>
            <w:shd w:color="000000" w:fill="FFFFFF" w:val="clear"/>
            <w:vAlign w:val="center"/>
            <w:hideMark/>
          </w:tcPr>
          <w:p w:rsidP="00893ED9" w:rsidR="00893ED9" w:rsidRDefault="00893ED9" w:rsidRPr="0049608D">
            <w:pPr>
              <w:spacing w:after="0" w:line="240" w:lineRule="auto"/>
              <w:rPr>
                <w:rFonts w:ascii="Verdana" w:eastAsia="Times New Roman" w:hAnsi="Verdana"/>
                <w:sz w:val="18"/>
                <w:szCs w:val="18"/>
                <w:lang w:eastAsia="en-GB"/>
              </w:rPr>
            </w:pPr>
            <w:r w:rsidRPr="0049608D">
              <w:rPr>
                <w:rFonts w:ascii="Verdana" w:eastAsia="Times New Roman" w:hAnsi="Verdana"/>
                <w:noProof/>
                <w:sz w:val="18"/>
                <w:szCs w:val="18"/>
                <w:lang w:eastAsia="en-GB"/>
              </w:rPr>
              <w:t>Project management and communication</w:t>
            </w:r>
          </w:p>
        </w:tc>
        <w:tc>
          <w:tcPr>
            <w:tcW w:type="dxa" w:w="1468"/>
            <w:tcBorders>
              <w:top w:val="nil"/>
              <w:left w:val="nil"/>
              <w:bottom w:color="auto" w:space="0" w:sz="12" w:val="single"/>
              <w:right w:color="auto" w:space="0" w:sz="8" w:val="single"/>
            </w:tcBorders>
            <w:shd w:color="000000" w:fill="FFFFFF" w:val="clear"/>
            <w:vAlign w:val="center"/>
            <w:hideMark/>
          </w:tcPr>
          <w:p w:rsidP="00A022CE" w:rsidR="00FA3869" w:rsidRDefault="00BD647E" w:rsidRPr="0049608D">
            <w:pPr>
              <w:spacing w:after="0" w:line="240" w:lineRule="auto"/>
              <w:rPr>
                <w:rFonts w:ascii="Verdana" w:eastAsia="Times New Roman" w:hAnsi="Verdana"/>
                <w:sz w:val="18"/>
                <w:szCs w:val="18"/>
                <w:lang w:eastAsia="en-GB"/>
              </w:rPr>
            </w:pPr>
            <w:r w:rsidR="00E6164F">
              <w:rPr>
                <w:rFonts w:ascii="Verdana" w:eastAsia="Times New Roman" w:hAnsi="Verdana"/>
                <w:noProof/>
                <w:sz w:val="18"/>
                <w:szCs w:val="18"/>
                <w:lang w:eastAsia="en-GB"/>
              </w:rPr>
              <w:t>02/03/2017</w:t>
            </w:r>
          </w:p>
        </w:tc>
        <w:tc>
          <w:tcPr>
            <w:tcW w:type="dxa" w:w="1469"/>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31/12/2024</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FE35C9"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02/03/2017</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30/06/2025</w:t>
            </w:r>
          </w:p>
        </w:tc>
        <w:tc>
          <w:tcPr>
            <w:tcW w:type="dxa" w:w="1468"/>
            <w:gridSpan w:val="2"/>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29/01/2021</w:t>
            </w:r>
          </w:p>
        </w:tc>
        <w:tc>
          <w:tcPr>
            <w:tcW w:type="dxa" w:w="1469"/>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sidR="007E1A22">
              <w:rPr>
                <w:rFonts w:ascii="Verdana" w:eastAsia="Times New Roman" w:hAnsi="Verdana"/>
                <w:noProof/>
                <w:sz w:val="18"/>
                <w:szCs w:val="18"/>
                <w:lang w:eastAsia="en-GB"/>
              </w:rPr>
              <w:t>30/06/2025</w:t>
            </w:r>
          </w:p>
        </w:tc>
        <w:tc>
          <w:tcPr>
            <w:tcW w:type="dxa" w:w="2153"/>
            <w:tcBorders>
              <w:top w:val="nil"/>
              <w:left w:val="nil"/>
              <w:bottom w:color="auto" w:space="0" w:sz="12" w:val="single"/>
              <w:right w:color="auto" w:space="0" w:sz="8" w:val="single"/>
            </w:tcBorders>
            <w:shd w:color="auto" w:fill="auto" w:val="clear"/>
            <w:vAlign w:val="center"/>
            <w:hideMark/>
          </w:tcPr>
          <w:p w:rsidP="00816707" w:rsidR="00893ED9" w:rsidRDefault="00E658FD" w:rsidRPr="0049608D">
            <w:pPr>
              <w:spacing w:after="0" w:line="240" w:lineRule="auto"/>
              <w:jc w:val="center"/>
              <w:rPr>
                <w:rFonts w:ascii="Verdana" w:eastAsia="Times New Roman" w:hAnsi="Verdana"/>
                <w:sz w:val="18"/>
                <w:szCs w:val="18"/>
                <w:lang w:eastAsia="en-GB"/>
              </w:rPr>
            </w:pPr>
            <w:r>
              <w:rPr>
                <w:rFonts w:ascii="Verdana" w:eastAsia="Times New Roman" w:hAnsi="Verdana"/>
                <w:noProof/>
                <w:sz w:val="18"/>
                <w:szCs w:val="18"/>
                <w:lang w:eastAsia="en-GB"/>
              </w:rPr>
              <w:t>60.00</w:t>
            </w:r>
          </w:p>
        </w:tc>
      </w:tr>
      <w:tr w:rsidR="00893ED9" w:rsidRPr="00DE090B" w:rsidTr="00F51FEF">
        <w:trPr>
          <w:trHeight w:val="476"/>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887EE8" w:rsidR="00893ED9" w:rsidRDefault="00893ED9" w:rsidRPr="00DE090B">
            <w:pPr>
              <w:spacing w:after="0" w:line="240" w:lineRule="auto"/>
              <w:jc w:val="center"/>
              <w:rPr>
                <w:rFonts w:ascii="Verdana" w:eastAsia="Times New Roman" w:hAnsi="Verdana"/>
                <w:b/>
                <w:bCs/>
                <w:spacing w:val="-10"/>
                <w:sz w:val="18"/>
                <w:lang w:eastAsia="en-G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893ED9" w:rsidRPr="00DE090B" w:rsidTr="00F53A95">
        <w:trPr>
          <w:trHeight w:val="965"/>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F53A95" w:rsidR="00893ED9" w:rsidRDefault="003D4D07" w:rsidRPr="00A44255">
            <w:pPr>
              <w:spacing w:after="0" w:line="240" w:lineRule="auto"/>
              <w:rPr>
                <w:rFonts w:ascii="Verdana" w:eastAsia="Times New Roman" w:hAnsi="Verdana"/>
                <w:bCs/>
                <w:spacing w:val="-10"/>
                <w:sz w:val="18"/>
                <w:lang w:eastAsia="en-GB"/>
              </w:rPr>
            </w:pPr>
            <w:r>
              <w:rPr>
                <w:rFonts w:ascii="Verdana" w:eastAsia="Times New Roman" w:hAnsi="Verdana"/>
                <w:bCs/>
                <w:noProof/>
                <w:spacing w:val="-10"/>
                <w:sz w:val="18"/>
                <w:lang w:eastAsia="en-GB"/>
              </w:rPr>
              <w:t>Milestone 26 was completed and it is 60%.</w:t>
            </w:r>
          </w:p>
        </w:tc>
      </w:tr>
      <w:tr w:rsidR="00893ED9" w:rsidRPr="00DE090B" w:rsidTr="00275274">
        <w:trPr>
          <w:trHeight w:val="1370"/>
          <w:jc w:val="center"/>
        </w:trPr>
        <w:tc>
          <w:tcPr>
            <w:tcW w:type="dxa" w:w="1241"/>
            <w:tcBorders>
              <w:top w:val="nil"/>
              <w:left w:color="auto" w:space="0" w:sz="12" w:val="single"/>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Milestone no</w:t>
            </w:r>
          </w:p>
        </w:tc>
        <w:tc>
          <w:tcPr>
            <w:tcW w:type="dxa" w:w="2673"/>
            <w:tcBorders>
              <w:top w:val="nil"/>
              <w:left w:val="nil"/>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Title</w:t>
            </w:r>
            <w:r w:rsidRPr="00DE090B">
              <w:rPr>
                <w:rFonts w:ascii="Verdana" w:eastAsia="Times New Roman" w:hAnsi="Verdana"/>
                <w:b/>
                <w:bCs/>
                <w:sz w:val="18"/>
                <w:vertAlign w:val="superscript"/>
                <w:lang w:eastAsia="en-GB"/>
              </w:rPr>
              <w:t>1</w:t>
            </w:r>
          </w:p>
        </w:tc>
        <w:tc>
          <w:tcPr>
            <w:tcW w:type="dxa" w:w="2937"/>
            <w:gridSpan w:val="2"/>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completion date</w:t>
            </w:r>
            <w:r w:rsidR="002E2FFD">
              <w:rPr>
                <w:rFonts w:ascii="Verdana" w:eastAsia="Times New Roman" w:hAnsi="Verdana"/>
                <w:b/>
                <w:bCs/>
                <w:spacing w:val="-10"/>
                <w:sz w:val="18"/>
                <w:lang w:eastAsia="en-GB"/>
              </w:rPr>
              <w:t xml:space="preserve"> </w:t>
            </w:r>
            <w:r w:rsidR="002E2FFD" w:rsidRPr="00DE090B">
              <w:rPr>
                <w:rFonts w:ascii="Verdana" w:eastAsia="Times New Roman" w:hAnsi="Verdana"/>
                <w:b/>
                <w:bCs/>
                <w:spacing w:val="-10"/>
                <w:sz w:val="18"/>
                <w:vertAlign w:val="superscript"/>
                <w:lang w:eastAsia="en-GB"/>
              </w:rPr>
              <w:t>(GA)</w:t>
            </w:r>
          </w:p>
        </w:tc>
        <w:tc>
          <w:tcPr>
            <w:tcW w:type="dxa" w:w="2942"/>
            <w:gridSpan w:val="3"/>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date</w:t>
            </w:r>
          </w:p>
        </w:tc>
        <w:tc>
          <w:tcPr>
            <w:tcW w:type="dxa" w:w="2931"/>
            <w:gridSpan w:val="2"/>
            <w:tcBorders>
              <w:top w:color="auto" w:space="0" w:sz="12" w:val="single"/>
              <w:left w:val="nil"/>
              <w:bottom w:color="auto" w:space="0" w:sz="12" w:val="single"/>
              <w:right w:color="000000" w:space="0" w:sz="8" w:val="single"/>
            </w:tcBorders>
            <w:shd w:color="auto" w:fill="auto" w:val="clear"/>
            <w:vAlign w:val="center"/>
            <w:hideMark/>
          </w:tcPr>
          <w:p w:rsidP="004B31A7"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completion date</w:t>
            </w:r>
          </w:p>
        </w:tc>
        <w:tc>
          <w:tcPr>
            <w:tcW w:type="dxa" w:w="2153"/>
            <w:tcBorders>
              <w:top w:val="nil"/>
              <w:left w:val="nil"/>
              <w:bottom w:color="auto" w:space="0" w:sz="12" w:val="single"/>
              <w:right w:color="auto" w:space="0" w:sz="8" w:val="single"/>
            </w:tcBorders>
            <w:shd w:color="auto" w:fill="auto"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Reached (Y/N)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26</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4 - Communication plan approved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29/01/2021</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29/01/2021</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29/01/2021</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shift of term is due to shift of term for milestones 6.</w:t>
            </w:r>
          </w:p>
        </w:tc>
      </w:tr>
    </w:tbl>
    <w:p w:rsidR="00AB2D5F" w:rsidRDefault="00E035B3">
      <w:pPr>
        <w:sectPr w:rsidR="00AB2D5F" w:rsidSect="00AB2D5F">
          <w:pgSz w:h="11906" w:orient="landscape" w:w="16838"/>
          <w:pgMar w:bottom="1440" w:footer="709" w:gutter="0" w:header="709" w:left="1440" w:right="737" w:top="1440"/>
          <w:cols w:space="708"/>
          <w:docGrid w:linePitch="360"/>
        </w:sectPr>
      </w:pPr>
      <w:r w:rsidR="00F51FEF">
        <w:rPr>
          <w:noProof/>
        </w:rPr>
        <w:t/>
      </w:r>
    </w:p>
    <w:p w:rsidR="000C4B70" w:rsidRDefault="000C4B70"/>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0C4B70" w:rsidRPr="00187B31" w:rsidTr="000C4B70">
        <w:trPr>
          <w:trHeight w:val="264"/>
          <w:jc w:val="center"/>
        </w:trPr>
        <w:tc>
          <w:tcPr>
            <w:tcW w:type="dxa" w:w="9594"/>
            <w:shd w:color="auto" w:fill="99CCFF" w:val="clear"/>
            <w:tcMar>
              <w:top w:type="dxa" w:w="85"/>
              <w:bottom w:type="dxa" w:w="85"/>
            </w:tcMar>
          </w:tcPr>
          <w:p w:rsidP="00086FAC" w:rsidR="000C4B70" w:rsidRDefault="000C4B70" w:rsidRPr="00950F3B">
            <w:pPr>
              <w:keepNext/>
              <w:spacing w:after="120" w:before="120"/>
              <w:ind w:left="113"/>
              <w:rPr>
                <w:rFonts w:ascii="Verdana" w:hAnsi="Verdana"/>
                <w:b/>
                <w:spacing w:val="-10"/>
              </w:rPr>
            </w:pPr>
            <w:r w:rsidRPr="00950F3B">
              <w:rPr>
                <w:rFonts w:ascii="Verdana" w:hAnsi="Verdana"/>
                <w:b/>
              </w:rPr>
              <w:br w:type="page"/>
            </w:r>
            <w:r w:rsidR="00950F3B" w:rsidRPr="00950F3B">
              <w:rPr>
                <w:rFonts w:ascii="Verdana" w:hAnsi="Verdana"/>
                <w:b/>
                <w:spacing w:val="-10"/>
              </w:rPr>
              <w:t xml:space="preserve">2.3 </w:t>
            </w:r>
            <w:r w:rsidR="007B7FD1">
              <w:rPr>
                <w:rFonts w:ascii="Verdana" w:hAnsi="Verdana"/>
                <w:b/>
                <w:spacing w:val="-10"/>
              </w:rPr>
              <w:t>If total actual costs/units deviates</w:t>
            </w:r>
            <w:r w:rsidR="00950F3B" w:rsidRPr="00950F3B">
              <w:rPr>
                <w:rFonts w:ascii="Verdana" w:hAnsi="Verdana"/>
                <w:b/>
                <w:spacing w:val="-10"/>
              </w:rPr>
              <w:t xml:space="preserve"> </w:t>
            </w:r>
            <w:r w:rsidR="00950F3B" w:rsidRPr="007B7FD1">
              <w:rPr>
                <w:rFonts w:ascii="Verdana" w:hAnsi="Verdana"/>
                <w:b/>
                <w:spacing w:val="-10"/>
              </w:rPr>
              <w:t>&gt;5%</w:t>
            </w:r>
            <w:r w:rsidR="00950F3B" w:rsidRPr="00950F3B">
              <w:rPr>
                <w:rFonts w:ascii="Verdana" w:hAnsi="Verdana"/>
                <w:b/>
                <w:spacing w:val="-10"/>
              </w:rPr>
              <w:t xml:space="preserve"> </w:t>
            </w:r>
            <w:r w:rsidR="007B7FD1">
              <w:rPr>
                <w:rFonts w:ascii="Verdana" w:hAnsi="Verdana"/>
                <w:b/>
                <w:spacing w:val="-10"/>
              </w:rPr>
              <w:t>compared to latest Grant Agreement in force, please explain why</w:t>
            </w:r>
          </w:p>
        </w:tc>
      </w:tr>
      <w:tr w:rsidR="000C4B70" w:rsidRPr="00187B31" w:rsidTr="000C4B70">
        <w:trPr>
          <w:trHeight w:val="1046"/>
          <w:jc w:val="center"/>
        </w:trPr>
        <w:tc>
          <w:tcPr>
            <w:tcW w:type="dxa" w:w="9594"/>
            <w:tcMar>
              <w:top w:type="dxa" w:w="85"/>
              <w:bottom w:type="dxa" w:w="85"/>
            </w:tcMar>
          </w:tcPr>
          <w:p w:rsidP="009A6BA9" w:rsidR="009A6BA9" w:rsidRDefault="00E035B3" w:rsidRPr="003B7434">
            <w:pPr>
              <w:spacing w:after="0" w:line="240" w:lineRule="auto"/>
            </w:pPr>
            <w:r w:rsidR="009A6BA9">
              <w:rPr>
                <w:noProof/>
              </w:rPr>
              <w:t/>
            </w:r>
            <w:r w:rsidR="009A6BA9">
              <w:rPr>
                <w:noProof/>
              </w:rPr>
              <w:t/>
            </w:r>
            <w:r w:rsidR="009A6BA9" w:rsidRPr="000C5A38">
              <w:rPr>
                <w:noProof/>
              </w:rPr>
              <w:t/>
            </w:r>
            <w:r w:rsidR="009A6BA9">
              <w:rPr>
                <w:noProof/>
              </w:rPr>
              <w:t/>
            </w:r>
            <w:r w:rsidR="009A6BA9" w:rsidRPr="00330DCA">
              <w:rPr>
                <w:rFonts w:ascii="Verdana" w:eastAsia="Times New Roman" w:hAnsi="Verdana"/>
                <w:bCs/>
                <w:spacing w:val="-10"/>
                <w:lang w:eastAsia="en-GB"/>
              </w:rPr>
              <w:t xml:space="preserve">Activity </w:t>
            </w:r>
            <w:r w:rsidR="009A6BA9">
              <w:rPr>
                <w:rFonts w:ascii="Verdana" w:eastAsia="Times New Roman" w:hAnsi="Verdana"/>
                <w:bCs/>
                <w:noProof/>
                <w:spacing w:val="-10"/>
                <w:lang w:eastAsia="en-GB"/>
              </w:rPr>
              <w:t>1</w:t>
            </w:r>
            <w:r w:rsidR="009A6BA9">
              <w:rPr>
                <w:rFonts w:ascii="Verdana" w:eastAsia="Times New Roman" w:hAnsi="Verdana"/>
                <w:bCs/>
                <w:spacing w:val="-10"/>
                <w:lang w:eastAsia="en-GB"/>
              </w:rPr>
              <w:t xml:space="preserve"> </w:t>
            </w:r>
            <w:r w:rsidR="009A6BA9" w:rsidRPr="00330DCA">
              <w:rPr>
                <w:rFonts w:ascii="Verdana" w:eastAsia="Times New Roman" w:hAnsi="Verdana"/>
                <w:noProof/>
                <w:lang w:eastAsia="en-GB"/>
              </w:rPr>
              <w:t>Public procurement, authorisation procedures and detailed design</w:t>
            </w:r>
          </w:p>
          <w:p w:rsidP="009A6BA9" w:rsidR="009A6BA9" w:rsidRDefault="009A6BA9">
            <w:pPr>
              <w:spacing w:after="0"/>
              <w:rPr>
                <w:rFonts w:ascii="Verdana" w:eastAsia="Times New Roman" w:hAnsi="Verdana"/>
                <w:lang w:eastAsia="en-GB"/>
              </w:rPr>
            </w:pPr>
            <w:r>
              <w:rPr>
                <w:rFonts w:ascii="Verdana" w:eastAsia="Times New Roman" w:hAnsi="Verdana"/>
                <w:noProof/>
                <w:lang w:eastAsia="en-GB"/>
              </w:rPr>
              <w:t>The difference in current costs for activity 1 of -21.42% is due to the fact that the actual costs are based on a contract price that is lower than the estimated costs presented in Grant Agreement.</w:t>
            </w:r>
          </w:p>
          <w:p w:rsidP="009A6BA9" w:rsidR="000C4B70" w:rsidRDefault="009A6BA9" w:rsidRPr="00300013">
            <w:pPr>
              <w:spacing w:after="0"/>
            </w:pPr>
            <w:r w:rsidRPr="00665206">
              <w:rPr>
                <w:noProof/>
              </w:rPr>
              <w:t/>
            </w:r>
            <w:r>
              <w:rPr>
                <w:noProof/>
              </w:rPr>
              <w:t/>
            </w:r>
            <w:r w:rsidR="009A6BA9" w:rsidRPr="000C5A38">
              <w:rPr>
                <w:noProof/>
              </w:rPr>
              <w:t/>
            </w:r>
            <w:r w:rsidR="009A6BA9">
              <w:rPr>
                <w:noProof/>
              </w:rPr>
              <w:t/>
            </w:r>
            <w:r w:rsidR="009A6BA9" w:rsidRPr="00330DCA">
              <w:rPr>
                <w:rFonts w:ascii="Verdana" w:eastAsia="Times New Roman" w:hAnsi="Verdana"/>
                <w:bCs/>
                <w:spacing w:val="-10"/>
                <w:lang w:eastAsia="en-GB"/>
              </w:rPr>
              <w:t xml:space="preserve">Activity </w:t>
            </w:r>
            <w:r w:rsidR="009A6BA9">
              <w:rPr>
                <w:rFonts w:ascii="Verdana" w:eastAsia="Times New Roman" w:hAnsi="Verdana"/>
                <w:bCs/>
                <w:noProof/>
                <w:spacing w:val="-10"/>
                <w:lang w:eastAsia="en-GB"/>
              </w:rPr>
              <w:t>2</w:t>
            </w:r>
            <w:r w:rsidR="009A6BA9">
              <w:rPr>
                <w:rFonts w:ascii="Verdana" w:eastAsia="Times New Roman" w:hAnsi="Verdana"/>
                <w:bCs/>
                <w:spacing w:val="-10"/>
                <w:lang w:eastAsia="en-GB"/>
              </w:rPr>
              <w:t xml:space="preserve"> </w:t>
            </w:r>
            <w:r w:rsidR="009A6BA9" w:rsidRPr="00330DCA">
              <w:rPr>
                <w:rFonts w:ascii="Verdana" w:eastAsia="Times New Roman" w:hAnsi="Verdana"/>
                <w:noProof/>
                <w:lang w:eastAsia="en-GB"/>
              </w:rPr>
              <w:t>Construction works and author supervision</w:t>
            </w:r>
          </w:p>
          <w:p w:rsidP="009A6BA9" w:rsidR="009A6BA9" w:rsidRDefault="009A6BA9">
            <w:pPr>
              <w:spacing w:after="0"/>
              <w:rPr>
                <w:rFonts w:ascii="Verdana" w:eastAsia="Times New Roman" w:hAnsi="Verdana"/>
                <w:lang w:eastAsia="en-GB"/>
              </w:rPr>
            </w:pPr>
            <w:r>
              <w:rPr>
                <w:rFonts w:ascii="Verdana" w:eastAsia="Times New Roman" w:hAnsi="Verdana"/>
                <w:noProof/>
                <w:lang w:eastAsia="en-GB"/>
              </w:rPr>
              <w:t>Activity 2 Construction works and author supervision. The difference in current costs of – 32,68  % is due to the fact that the actual costs are based on a contract price that is lower than the estimated costs presented in Grant Agreement.</w:t>
            </w:r>
          </w:p>
          <w:p w:rsidP="009A6BA9" w:rsidR="000C4B70" w:rsidRDefault="009A6BA9" w:rsidRPr="00300013">
            <w:pPr>
              <w:spacing w:after="0"/>
            </w:pPr>
            <w:r w:rsidRPr="00665206">
              <w:rPr>
                <w:noProof/>
              </w:rPr>
              <w:t/>
            </w:r>
            <w:r>
              <w:rPr>
                <w:noProof/>
              </w:rPr>
              <w:t/>
            </w:r>
            <w:r w:rsidR="009A6BA9" w:rsidRPr="000C5A38">
              <w:rPr>
                <w:noProof/>
              </w:rPr>
              <w:t/>
            </w:r>
            <w:r w:rsidR="009A6BA9">
              <w:rPr>
                <w:noProof/>
              </w:rPr>
              <w:t/>
            </w:r>
            <w:r w:rsidR="009A6BA9" w:rsidRPr="00330DCA">
              <w:rPr>
                <w:rFonts w:ascii="Verdana" w:eastAsia="Times New Roman" w:hAnsi="Verdana"/>
                <w:bCs/>
                <w:spacing w:val="-10"/>
                <w:lang w:eastAsia="en-GB"/>
              </w:rPr>
              <w:t xml:space="preserve">Activity </w:t>
            </w:r>
            <w:r w:rsidR="009A6BA9">
              <w:rPr>
                <w:rFonts w:ascii="Verdana" w:eastAsia="Times New Roman" w:hAnsi="Verdana"/>
                <w:bCs/>
                <w:noProof/>
                <w:spacing w:val="-10"/>
                <w:lang w:eastAsia="en-GB"/>
              </w:rPr>
              <w:t>3</w:t>
            </w:r>
            <w:r w:rsidR="009A6BA9">
              <w:rPr>
                <w:rFonts w:ascii="Verdana" w:eastAsia="Times New Roman" w:hAnsi="Verdana"/>
                <w:bCs/>
                <w:spacing w:val="-10"/>
                <w:lang w:eastAsia="en-GB"/>
              </w:rPr>
              <w:t xml:space="preserve"> </w:t>
            </w:r>
            <w:r w:rsidR="009A6BA9" w:rsidRPr="00330DCA">
              <w:rPr>
                <w:rFonts w:ascii="Verdana" w:eastAsia="Times New Roman" w:hAnsi="Verdana"/>
                <w:noProof/>
                <w:lang w:eastAsia="en-GB"/>
              </w:rPr>
              <w:t>Construction works</w:t>
            </w:r>
          </w:p>
          <w:p w:rsidP="009A6BA9" w:rsidR="009A6BA9" w:rsidRDefault="009A6BA9">
            <w:pPr>
              <w:spacing w:after="0"/>
              <w:rPr>
                <w:rFonts w:ascii="Verdana" w:eastAsia="Times New Roman" w:hAnsi="Verdana"/>
                <w:lang w:eastAsia="en-GB"/>
              </w:rPr>
            </w:pPr>
            <w:r>
              <w:rPr>
                <w:rFonts w:ascii="Verdana" w:eastAsia="Times New Roman" w:hAnsi="Verdana"/>
                <w:noProof/>
                <w:lang w:eastAsia="en-GB"/>
              </w:rPr>
              <w:t>The difference in current costs of 49,47 % is due to the fact that the amount of actual costs are backed by the data on signed works contract: https://www.crz.gov.sk/zmluva/7664523/</w:t>
            </w:r>
          </w:p>
          <w:p w:rsidP="009A6BA9" w:rsidR="000C4B70" w:rsidRDefault="009A6BA9" w:rsidRPr="00300013">
            <w:pPr>
              <w:spacing w:after="0"/>
            </w:pPr>
            <w:r w:rsidRPr="00665206">
              <w:rPr>
                <w:noProof/>
              </w:rPr>
              <w:t/>
            </w:r>
            <w:r>
              <w:rPr>
                <w:noProof/>
              </w:rPr>
              <w:t/>
            </w:r>
            <w:r w:rsidR="009A6BA9" w:rsidRPr="000C5A38">
              <w:rPr>
                <w:noProof/>
              </w:rPr>
              <w:t/>
            </w:r>
            <w:r w:rsidR="009A6BA9">
              <w:rPr>
                <w:noProof/>
              </w:rPr>
              <w:t/>
            </w:r>
            <w:r w:rsidR="009A6BA9" w:rsidRPr="00330DCA">
              <w:rPr>
                <w:rFonts w:ascii="Verdana" w:eastAsia="Times New Roman" w:hAnsi="Verdana"/>
                <w:bCs/>
                <w:spacing w:val="-10"/>
                <w:lang w:eastAsia="en-GB"/>
              </w:rPr>
              <w:t xml:space="preserve">Activity </w:t>
            </w:r>
            <w:r w:rsidR="009A6BA9">
              <w:rPr>
                <w:rFonts w:ascii="Verdana" w:eastAsia="Times New Roman" w:hAnsi="Verdana"/>
                <w:bCs/>
                <w:noProof/>
                <w:spacing w:val="-10"/>
                <w:lang w:eastAsia="en-GB"/>
              </w:rPr>
              <w:t>4</w:t>
            </w:r>
            <w:r w:rsidR="009A6BA9">
              <w:rPr>
                <w:rFonts w:ascii="Verdana" w:eastAsia="Times New Roman" w:hAnsi="Verdana"/>
                <w:bCs/>
                <w:spacing w:val="-10"/>
                <w:lang w:eastAsia="en-GB"/>
              </w:rPr>
              <w:t xml:space="preserve"> </w:t>
            </w:r>
            <w:r w:rsidR="009A6BA9" w:rsidRPr="00330DCA">
              <w:rPr>
                <w:rFonts w:ascii="Verdana" w:eastAsia="Times New Roman" w:hAnsi="Verdana"/>
                <w:noProof/>
                <w:lang w:eastAsia="en-GB"/>
              </w:rPr>
              <w:t>Project management and communication</w:t>
            </w:r>
          </w:p>
          <w:p w:rsidP="009A6BA9" w:rsidR="009A6BA9" w:rsidRDefault="009A6BA9">
            <w:pPr>
              <w:spacing w:after="0"/>
              <w:rPr>
                <w:rFonts w:ascii="Verdana" w:eastAsia="Times New Roman" w:hAnsi="Verdana"/>
                <w:lang w:eastAsia="en-GB"/>
              </w:rPr>
            </w:pPr>
            <w:r>
              <w:rPr>
                <w:rFonts w:ascii="Verdana" w:eastAsia="Times New Roman" w:hAnsi="Verdana"/>
                <w:noProof/>
                <w:lang w:eastAsia="en-GB"/>
              </w:rPr>
              <w:t>The amount of 256 000 Eur was moved to Activity 3.</w:t>
            </w:r>
          </w:p>
          <w:p w:rsidP="009A6BA9" w:rsidR="000C4B70" w:rsidRDefault="009A6BA9" w:rsidRPr="00300013">
            <w:pPr>
              <w:spacing w:after="0"/>
            </w:pPr>
            <w:r w:rsidRPr="00665206">
              <w:rPr>
                <w:noProof/>
              </w:rPr>
              <w:t/>
            </w:r>
            <w:r>
              <w:rPr>
                <w:noProof/>
              </w:rPr>
              <w:t/>
            </w:r>
            <w:r w:rsidRPr="000D689C">
              <w:rPr>
                <w:noProof/>
              </w:rPr>
              <w:t/>
            </w:r>
          </w:p>
        </w:tc>
      </w:tr>
    </w:tbl>
    <w:p w:rsidR="00AB36AE" w:rsidRDefault="00AB36AE"/>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40170C" w:rsidRPr="00187B31" w:rsidTr="00CB6370">
        <w:trPr>
          <w:trHeight w:val="264"/>
          <w:jc w:val="center"/>
        </w:trPr>
        <w:tc>
          <w:tcPr>
            <w:tcW w:type="dxa" w:w="9594"/>
            <w:shd w:color="auto" w:fill="99CCFF" w:val="clear"/>
            <w:tcMar>
              <w:top w:type="dxa" w:w="85"/>
              <w:bottom w:type="dxa" w:w="85"/>
            </w:tcMar>
          </w:tcPr>
          <w:p w:rsidP="002A0EA4" w:rsidR="002A0EA4" w:rsidRDefault="002A0EA4">
            <w:pPr>
              <w:keepNext/>
              <w:spacing w:after="120" w:before="120"/>
              <w:ind w:left="113"/>
              <w:rPr>
                <w:rFonts w:ascii="Verdana" w:hAnsi="Verdana"/>
                <w:b/>
                <w:spacing w:val="-10"/>
                <w:u w:val="single"/>
              </w:rPr>
            </w:pPr>
            <w:r w:rsidRPr="002A0EA4">
              <w:rPr>
                <w:rFonts w:ascii="Verdana" w:hAnsi="Verdana"/>
                <w:b/>
                <w:spacing w:val="-10"/>
              </w:rPr>
              <w:t xml:space="preserve">2.4. Description of the Action's and activities' progress planned </w:t>
            </w:r>
            <w:r w:rsidRPr="002A0EA4">
              <w:rPr>
                <w:rFonts w:ascii="Verdana" w:hAnsi="Verdana"/>
                <w:b/>
                <w:spacing w:val="-10"/>
                <w:u w:val="single"/>
              </w:rPr>
              <w:t>in the on-going reporting period and until the end of implementation of the Action</w:t>
            </w:r>
          </w:p>
          <w:p w:rsidP="002A0EA4" w:rsidR="009C0B54" w:rsidRDefault="009C0B54" w:rsidRPr="002A0EA4">
            <w:pPr>
              <w:keepNext/>
              <w:spacing w:after="120" w:before="120"/>
              <w:ind w:left="113"/>
              <w:rPr>
                <w:rFonts w:ascii="Verdana" w:hAnsi="Verdana"/>
                <w:b/>
                <w:spacing w:val="-10"/>
                <w:u w:val="single"/>
              </w:rPr>
            </w:pPr>
          </w:p>
          <w:p w:rsidP="002A0EA4" w:rsidR="002A0EA4" w:rsidRDefault="009C0B54" w:rsidRPr="002A0EA4">
            <w:pPr>
              <w:keepNext/>
              <w:spacing w:after="120" w:before="120"/>
              <w:rPr>
                <w:rFonts w:ascii="Verdana" w:hAnsi="Verdana"/>
                <w:i/>
                <w:spacing w:val="-10"/>
              </w:rPr>
            </w:pPr>
            <w:r>
              <w:rPr>
                <w:rFonts w:ascii="Verdana" w:hAnsi="Verdana"/>
                <w:i/>
                <w:spacing w:val="-10"/>
              </w:rPr>
              <w:t>a) Provide a description of the</w:t>
            </w:r>
            <w:r w:rsidR="002A0EA4" w:rsidRPr="002A0EA4">
              <w:rPr>
                <w:rFonts w:ascii="Verdana" w:hAnsi="Verdana"/>
                <w:i/>
                <w:spacing w:val="-10"/>
              </w:rPr>
              <w:t xml:space="preserve"> planned progress of the activities in the on-going reporting period and, where applicable, beyond the on-going reporting period up until the end of the implementation of the Action (if the on-going reporting period is not the last one). </w:t>
            </w:r>
          </w:p>
          <w:p w:rsidP="002A0EA4" w:rsidR="002A0EA4" w:rsidRDefault="002A0EA4" w:rsidRPr="002A0EA4">
            <w:pPr>
              <w:keepNext/>
              <w:spacing w:after="120" w:before="120"/>
              <w:rPr>
                <w:rFonts w:ascii="Verdana" w:hAnsi="Verdana"/>
                <w:i/>
                <w:spacing w:val="-10"/>
              </w:rPr>
            </w:pPr>
            <w:r w:rsidRPr="002A0EA4">
              <w:rPr>
                <w:rFonts w:ascii="Verdana" w:hAnsi="Verdana"/>
                <w:i/>
                <w:spacing w:val="-10"/>
              </w:rPr>
              <w:t xml:space="preserve">b) Highlight and explain any deviation (e.g. on objectives of the Action, the completion of the planned activities, the cost-breakdown, Action's end date, etc.) in comparison to the latest grant agreement in force and, where applicable, latest ASR. </w:t>
            </w:r>
          </w:p>
          <w:p w:rsidP="002A0EA4" w:rsidR="0040170C" w:rsidRDefault="002A0EA4" w:rsidRPr="002A0EA4">
            <w:pPr>
              <w:keepNext/>
              <w:spacing w:after="120" w:before="120"/>
              <w:rPr>
                <w:rFonts w:ascii="Verdana" w:hAnsi="Verdana"/>
                <w:b/>
                <w:spacing w:val="-10"/>
              </w:rPr>
            </w:pPr>
            <w:r w:rsidRPr="002A0EA4">
              <w:rPr>
                <w:rFonts w:ascii="Verdana" w:hAnsi="Verdana"/>
                <w:i/>
                <w:spacing w:val="-10"/>
              </w:rPr>
              <w:t>c) Identify any expected/foreseen risk(s) that may challenge the actual end date of the Action and the associated mitigation plan(s).</w:t>
            </w:r>
          </w:p>
        </w:tc>
      </w:tr>
      <w:tr w:rsidR="0040170C" w:rsidRPr="00187B31" w:rsidTr="00CB6370">
        <w:trPr>
          <w:trHeight w:val="2440"/>
          <w:jc w:val="center"/>
        </w:trPr>
        <w:tc>
          <w:tcPr>
            <w:tcW w:type="dxa" w:w="9594"/>
            <w:tcMar>
              <w:top w:type="dxa" w:w="85"/>
              <w:bottom w:type="dxa" w:w="85"/>
            </w:tcMar>
          </w:tcPr>
          <w:p w:rsidP="0061142E" w:rsidR="0040170C" w:rsidRDefault="00A52058" w:rsidRPr="00187B31">
            <w:pPr>
              <w:spacing w:after="120" w:before="120"/>
              <w:ind w:left="113"/>
              <w:rPr>
                <w:rFonts w:ascii="Verdana" w:hAnsi="Verdana"/>
                <w:spacing w:val="-10"/>
              </w:rPr>
            </w:pPr>
            <w:r>
              <w:rPr>
                <w:rFonts w:ascii="Verdana" w:hAnsi="Verdana"/>
                <w:noProof/>
                <w:spacing w:val="-10"/>
              </w:rPr>
              <w:t>a)</w:t>
              <w:tab/>
              <w:t xml:space="preserve">Description of the planned progress of the activities</w:t>
              <w:br/>
              <w:t xml:space="preserve"/>
              <w:br/>
              <w:t xml:space="preserve">Activity 1 - Public procurement, authorisation procedures and detailed design </w:t>
              <w:br/>
              <w:t xml:space="preserve">Milestone 13 – Contract signed for commemorative plaques (31/10/2024, in GA 31/10/2024)</w:t>
              <w:br/>
              <w:t xml:space="preserve"/>
              <w:br/>
              <w:t xml:space="preserve">Activity 2 – Construction works and author supervision</w:t>
              <w:br/>
              <w:t xml:space="preserve">Milestone 16 – Second interim supervision report on construction works completed (14/07/2024, in GA 14/07/2024)</w:t>
              <w:br/>
              <w:t xml:space="preserve">Milestone 17 – Completion of construction works supervision (30/06/2025, in GA 31/12/2024)</w:t>
              <w:br/>
              <w:t xml:space="preserve">Milestone 18 – Completion of author supervision (31/12/2024, in GA 31/12/2024)</w:t>
              <w:br/>
              <w:t xml:space="preserve">Milestone 19 – Taking over certificate issued (31/12/2024, in GA 31/12/2024)</w:t>
              <w:br/>
              <w:t xml:space="preserve"/>
              <w:br/>
              <w:t xml:space="preserve">After signing the Contract on Provision of Services, the provider of services will proceed in accordance with the Contract on Provision of Services and in accordance with the Grant Agreement.</w:t>
              <w:br/>
              <w:t xml:space="preserve"/>
              <w:br/>
              <w:t xml:space="preserve">Activity 3 – Construction works</w:t>
              <w:br/>
              <w:t xml:space="preserve">Milestone 21 – Interoperability Constituents conformity (31/07/2024, in GA 31/07/2024)</w:t>
              <w:br/>
              <w:t xml:space="preserve">Milestone 22 – Tests completed (01/09/2024, in GA 01/09/2024)</w:t>
              <w:br/>
              <w:t xml:space="preserve">Milestone 23 – Subsystem verification of the Varín – Košice – Čierna nad Tisou section (01/10/2024, in GA 01/10/2024)</w:t>
              <w:br/>
              <w:t xml:space="preserve">Milestone 24 – Authorisation of the Varín – Košice – Čierna nad Tisou state border section by a competent authority (31/12/2024, in GA 31/12/2024)</w:t>
              <w:br/>
              <w:t xml:space="preserve">Milestone 25 – As – built documentation completed (31/12/2024, in GA 31/12/2024)</w:t>
              <w:br/>
              <w:t xml:space="preserve">After signing the Contract for Works, the contractor will continue to proceed in construction works in accordance with the Contract and in accordance with the Grant Agreement.</w:t>
              <w:br/>
              <w:t xml:space="preserve">The following construction works will be performed in 2024:</w:t>
              <w:br/>
              <w:t xml:space="preserve">•</w:t>
              <w:tab/>
              <w:t xml:space="preserve">construction of concrete foundations for antenna towers, </w:t>
              <w:br/>
              <w:t xml:space="preserve">•</w:t>
              <w:tab/>
              <w:t xml:space="preserve">construction of technological containers, </w:t>
              <w:br/>
              <w:t xml:space="preserve">•</w:t>
              <w:tab/>
              <w:t xml:space="preserve">installation of overhead optical cable along the entire section</w:t>
              <w:br/>
              <w:t xml:space="preserve">•</w:t>
              <w:tab/>
              <w:t xml:space="preserve">installation of local optical cabling along the entire section will continue along the entire route,</w:t>
              <w:br/>
              <w:t xml:space="preserve">•</w:t>
              <w:tab/>
              <w:t xml:space="preserve">installation of optical cables in tunnels along the track,</w:t>
              <w:br/>
              <w:t xml:space="preserve">•</w:t>
              <w:tab/>
              <w:t xml:space="preserve">interconnection of communication centers such as station buildings, control centers, and specialized sections of the stations (signaling technology sections),</w:t>
              <w:br/>
              <w:t xml:space="preserve">•</w:t>
              <w:tab/>
              <w:t xml:space="preserve">after the completion of all construction and installation works, functionality tests, system adjustments, communication checks, and statutory inspections of all electrical equipment will be carried out.</w:t>
              <w:br/>
              <w:t xml:space="preserve">Activity 4 – Project management and communication</w:t>
              <w:br/>
              <w:t xml:space="preserve">The activity will cover the overall management and coordination of the tasks related to the Action implementation, communication activities and the necessary financial audits. The overall Action management is planned to be supported by external consultants during the project implementation according to the current needs of ŽSR.</w:t>
              <w:br/>
              <w:t xml:space="preserve">The information on Action published on the official website of the Slovak Railways is updated regularly four times a year – at the end of March, June, September and December.</w:t>
              <w:br/>
              <w:t xml:space="preserve">Milestone 27 - Final event organised (30/06/2025, in GA 31/12/2024)</w:t>
              <w:br/>
              <w:t xml:space="preserve">The final event is planned to be organized at the end of the action in accordance with the time table indicated in the section 2.2 Progress per activity.</w:t>
              <w:br/>
              <w:t xml:space="preserve"/>
              <w:br/>
              <w:t xml:space="preserve">b) Deviations in comparison to the latest grant agreement in force (latest ASR)</w:t>
              <w:br/>
              <w:t xml:space="preserve"/>
              <w:br/>
              <w:t xml:space="preserve">Milestone 17 – Completion of construction works supervision (30/06/2025, in GA 31/12/2023)</w:t>
              <w:br/>
              <w:t xml:space="preserve">After completion of construction works by the contractor (31/12/2024), the works of construction supervision will continue with the performance of the activities listed below. In the period 01/01/2025 – 30/06/2025, the construction works supervision will be expected to:</w:t>
              <w:br/>
              <w:t xml:space="preserve">-</w:t>
              <w:tab/>
              <w:t xml:space="preserve">ensure and submit all necessary documents related to interoperability (TSI) according to the Railways Act and in terms of negotiations with the Transport Authority;</w:t>
              <w:br/>
              <w:t xml:space="preserve">-</w:t>
              <w:tab/>
              <w:t xml:space="preserve">provide applications for approval and the necessary documents with other building authorities for those construction parts that have not been approved;</w:t>
              <w:br/>
              <w:t xml:space="preserve">-</w:t>
              <w:tab/>
              <w:t xml:space="preserve">participate in negotiations with representatives of the ŽSR Geodesy Centre in relation to elaboration of post-implementation geometric plans as one of the necessary documents for approval;</w:t>
              <w:br/>
              <w:t xml:space="preserve">-</w:t>
              <w:tab/>
              <w:t xml:space="preserve">participate in negotiations with the representative of the general designer, who ensures the deposit of easements and to solve, in cooperation with the Contracting Authority, possible tasks to secure the deposit of easements, as one of the documents for approval;</w:t>
              <w:br/>
              <w:t xml:space="preserve">-</w:t>
              <w:tab/>
              <w:t xml:space="preserve">monitor and control the elimination of minor defects and shortcomings, which has to be implemented by the contractor, take over the removed defects and shortcomings with the participation of the future administrator and make records of the elimination of defects and shortcomings;</w:t>
              <w:br/>
              <w:t xml:space="preserve">-</w:t>
              <w:tab/>
              <w:t xml:space="preserve">after securing the documents from the Contracting Authority (geometric plans, registration of easements) to apply to the special building office of the MoT SR for approval;</w:t>
              <w:br/>
              <w:t xml:space="preserve">-</w:t>
              <w:tab/>
              <w:t xml:space="preserve">complete the entrustment of construction objects after the last interim invoicing;</w:t>
              <w:br/>
              <w:t xml:space="preserve">-</w:t>
              <w:tab/>
              <w:t xml:space="preserve">check and approve the final settlement of the construction and the final invoice and issue the final payment declaration;</w:t>
              <w:br/>
              <w:t xml:space="preserve">-</w:t>
              <w:tab/>
              <w:t xml:space="preserve">complete the archiving of all construction documents.</w:t>
              <w:br/>
              <w:t xml:space="preserve">Due to the delay of Milestones 6, 7 and 17, the planned end date of the Action was postponed to 30/06/2025, which means 21 months later compared to the date originally planned in GA.</w:t>
              <w:br/>
              <w:t xml:space="preserve">The objectives of the Action remain unchanged. The updated cost breakdown is given in Annex 2. The cost breakdown was updated based on the actual completion dates of the milestones and the actual end date of the Action.</w:t>
              <w:br/>
              <w:t xml:space="preserve"/>
              <w:br/>
              <w:t xml:space="preserve">c) Expected/foreseen risk(s)</w:t>
              <w:br/>
              <w:t xml:space="preserve"/>
              <w:br/>
              <w:t xml:space="preserve">A factor that cannot be omitted is the impact of technological and technical progress in the development of components in the field of telecommunications technology, when the manufacturer or suppliers have already abandoned the production of technologies (technological devices), or have innovated them, but already in other price ranges, which of course can have an impact on the final price of the work. The same applies, for example, to software equipment and interfaces, which are also subject to significant innovations and updates in terms of time development and progress.</w:t>
              <w:br/>
              <w:t xml:space="preserve">A damage incident occurred at the construction site, where an external Contractor, who is building another structure but on the same route as the GSM-R project, damaged the optical cable in a total length of approximately 3000 meters, which now needs to be dismantled and a new cable installed. These are additional works that the Contractor must carry out repeatedly and may impact the overall completion of the construction project. The construction requires approval for rail and voltage blockades for the Contractor to properly install the suspended optical cable. If this cable is not stretched along its entire length, the communication transmission system cannot be checked. The Contractor submits its requests for blockades in advance, but does not always receive approval for all requested ones, which prevents them from carrying out the work as planned according to the construction work management plan.</w:t>
              <w:br/>
              <w:t xml:space="preserve">Mitigation plans: If the Contractor cannot work where needed, they try to proceed with work at other construction sites where blockades are not required.</w:t>
              <w:br/>
              <w:t xml:space="preserve"/>
              <w:br/>
              <w:t xml:space="preserve"/>
            </w:r>
          </w:p>
        </w:tc>
      </w:tr>
    </w:tbl>
    <w:p w:rsidR="00C12C1A" w:rsidRDefault="00C12C1A"/>
    <w:p w:rsidR="00315323" w:rsidRDefault="00315323">
      <w:pPr>
        <w:spacing w:after="0" w:line="240" w:lineRule="auto"/>
      </w:pPr>
      <w:r>
        <w:br w:type="page"/>
      </w:r>
    </w:p>
    <w:p w:rsidR="0040170C" w:rsidRDefault="0040170C"/>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shd w:color="auto" w:fill="FFFFFF" w:val="clear"/>
        <w:tblLayout w:type="fixed"/>
        <w:tblLook w:firstColumn="0" w:firstRow="0" w:lastColumn="0" w:lastRow="0" w:noHBand="0" w:noVBand="0" w:val="0000"/>
      </w:tblPr>
      <w:tblGrid>
        <w:gridCol w:w="9242"/>
      </w:tblGrid>
      <w:tr w:rsidR="00315323" w:rsidRPr="00187B31" w:rsidTr="0018280C">
        <w:trPr>
          <w:trHeight w:val="412"/>
          <w:jc w:val="center"/>
        </w:trPr>
        <w:tc>
          <w:tcPr>
            <w:tcW w:type="dxa" w:w="9594"/>
            <w:shd w:color="auto" w:fill="99CCFF" w:val="clear"/>
            <w:tcMar>
              <w:top w:type="dxa" w:w="113"/>
              <w:bottom w:type="dxa" w:w="113"/>
            </w:tcMar>
          </w:tcPr>
          <w:p w:rsidP="0018280C" w:rsidR="00315323" w:rsidRDefault="00315323" w:rsidRPr="00FA3FBF">
            <w:pPr>
              <w:snapToGrid w:val="0"/>
              <w:spacing w:after="120" w:before="120"/>
              <w:ind w:left="113" w:right="-19"/>
              <w:rPr>
                <w:rFonts w:ascii="Verdana" w:hAnsi="Verdana"/>
                <w:b/>
                <w:spacing w:val="-10"/>
                <w:sz w:val="32"/>
                <w:szCs w:val="32"/>
              </w:rPr>
            </w:pPr>
            <w:r w:rsidRPr="00FA3FBF">
              <w:rPr>
                <w:rFonts w:ascii="Verdana" w:hAnsi="Verdana"/>
                <w:b/>
                <w:spacing w:val="-10"/>
                <w:sz w:val="32"/>
                <w:szCs w:val="32"/>
              </w:rPr>
              <w:t xml:space="preserve">3. </w:t>
            </w:r>
            <w:r w:rsidRPr="00187B31">
              <w:rPr>
                <w:rFonts w:ascii="Verdana" w:hAnsi="Verdana"/>
                <w:b/>
                <w:spacing w:val="-10"/>
                <w:sz w:val="18"/>
              </w:rPr>
              <w:t xml:space="preserve"> </w:t>
            </w:r>
            <w:r w:rsidRPr="00187B31">
              <w:rPr>
                <w:rFonts w:ascii="Verdana" w:hAnsi="Verdana"/>
                <w:b/>
                <w:spacing w:val="-10"/>
                <w:sz w:val="32"/>
                <w:szCs w:val="32"/>
              </w:rPr>
              <w:t>VISIBILITY OF UNION FUNDING</w:t>
            </w:r>
            <w:r>
              <w:rPr>
                <w:rFonts w:ascii="Verdana" w:hAnsi="Verdana"/>
                <w:b/>
                <w:spacing w:val="-10"/>
                <w:sz w:val="32"/>
                <w:szCs w:val="32"/>
              </w:rPr>
              <w:t xml:space="preserve"> </w:t>
            </w:r>
            <w:r w:rsidRPr="006A511D">
              <w:rPr>
                <w:rFonts w:ascii="Verdana" w:hAnsi="Verdana"/>
                <w:b/>
                <w:spacing w:val="-10"/>
                <w:sz w:val="24"/>
                <w:szCs w:val="32"/>
              </w:rPr>
              <w:t>(GA II.23.1.1.i</w:t>
            </w:r>
            <w:r>
              <w:rPr>
                <w:rFonts w:ascii="Verdana" w:hAnsi="Verdana"/>
                <w:b/>
                <w:spacing w:val="-10"/>
                <w:sz w:val="24"/>
                <w:szCs w:val="32"/>
              </w:rPr>
              <w:t xml:space="preserve">   or SESAR FPA II.23.1b.i</w:t>
            </w:r>
            <w:r w:rsidRPr="006A511D">
              <w:rPr>
                <w:rFonts w:ascii="Verdana" w:hAnsi="Verdana"/>
                <w:b/>
                <w:spacing w:val="-10"/>
                <w:sz w:val="24"/>
                <w:szCs w:val="32"/>
              </w:rPr>
              <w:t>)</w:t>
            </w:r>
          </w:p>
        </w:tc>
      </w:tr>
    </w:tbl>
    <w:p w:rsidR="00315323" w:rsidRDefault="00315323"/>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315323" w:rsidRPr="00187B31" w:rsidTr="00BF4E76">
        <w:trPr>
          <w:trHeight w:val="264"/>
          <w:jc w:val="center"/>
        </w:trPr>
        <w:tc>
          <w:tcPr>
            <w:tcW w:type="dxa" w:w="9594"/>
            <w:shd w:color="auto" w:fill="99CCFF" w:val="clear"/>
            <w:tcMar>
              <w:top w:type="dxa" w:w="85"/>
              <w:bottom w:type="dxa" w:w="85"/>
            </w:tcMar>
          </w:tcPr>
          <w:p w:rsidP="0018280C" w:rsidR="00315323" w:rsidRDefault="00315323" w:rsidRPr="00187B31">
            <w:pPr>
              <w:keepNext/>
              <w:spacing w:after="120" w:before="120"/>
              <w:ind w:left="113"/>
              <w:rPr>
                <w:rFonts w:ascii="Verdana" w:hAnsi="Verdana"/>
                <w:b/>
                <w:spacing w:val="-10"/>
              </w:rPr>
            </w:pPr>
            <w:r w:rsidRPr="00187B31">
              <w:rPr>
                <w:rFonts w:ascii="Verdana" w:hAnsi="Verdana"/>
                <w:b/>
                <w:spacing w:val="-10"/>
              </w:rPr>
              <w:t xml:space="preserve">What measures have been taken </w:t>
            </w:r>
            <w:r>
              <w:rPr>
                <w:rFonts w:ascii="Verdana" w:hAnsi="Verdana"/>
                <w:b/>
                <w:spacing w:val="-10"/>
              </w:rPr>
              <w:t>within the</w:t>
            </w:r>
            <w:r w:rsidR="002E2FFD">
              <w:rPr>
                <w:rFonts w:ascii="Verdana" w:hAnsi="Verdana"/>
                <w:b/>
                <w:spacing w:val="-10"/>
              </w:rPr>
              <w:t xml:space="preserve"> previous</w:t>
            </w:r>
            <w:r>
              <w:rPr>
                <w:rFonts w:ascii="Verdana" w:hAnsi="Verdana"/>
                <w:b/>
                <w:spacing w:val="-10"/>
              </w:rPr>
              <w:t xml:space="preserve"> reporting period </w:t>
            </w:r>
            <w:r w:rsidR="00462537">
              <w:rPr>
                <w:rFonts w:ascii="Verdana" w:hAnsi="Verdana"/>
                <w:b/>
                <w:spacing w:val="-10"/>
              </w:rPr>
              <w:t>to publicis</w:t>
            </w:r>
            <w:r w:rsidRPr="00187B31">
              <w:rPr>
                <w:rFonts w:ascii="Verdana" w:hAnsi="Verdana"/>
                <w:b/>
                <w:spacing w:val="-10"/>
              </w:rPr>
              <w:t>e the Action,</w:t>
            </w:r>
            <w:r>
              <w:rPr>
                <w:rFonts w:ascii="Verdana" w:hAnsi="Verdana"/>
                <w:b/>
                <w:spacing w:val="-10"/>
              </w:rPr>
              <w:t xml:space="preserve"> including EU</w:t>
            </w:r>
            <w:r w:rsidRPr="00187B31">
              <w:rPr>
                <w:rFonts w:ascii="Verdana" w:hAnsi="Verdana"/>
                <w:b/>
                <w:spacing w:val="-10"/>
              </w:rPr>
              <w:t xml:space="preserve"> funding (GA II.7.1)?</w:t>
            </w:r>
          </w:p>
        </w:tc>
      </w:tr>
      <w:tr w:rsidR="00315323" w:rsidRPr="00187B31" w:rsidTr="00BF4E76">
        <w:trPr>
          <w:trHeight w:val="1669"/>
          <w:jc w:val="center"/>
        </w:trPr>
        <w:tc>
          <w:tcPr>
            <w:tcW w:type="dxa" w:w="9594"/>
            <w:tcMar>
              <w:top w:type="dxa" w:w="85"/>
              <w:bottom w:type="dxa" w:w="85"/>
            </w:tcMar>
          </w:tcPr>
          <w:p w:rsidP="0061142E" w:rsidR="00315323" w:rsidRDefault="00136AD4" w:rsidRPr="00187B31">
            <w:pPr>
              <w:spacing w:after="120" w:before="120"/>
              <w:ind w:left="113"/>
              <w:rPr>
                <w:rFonts w:ascii="Verdana" w:hAnsi="Verdana"/>
                <w:spacing w:val="-10"/>
              </w:rPr>
            </w:pPr>
            <w:r>
              <w:rPr>
                <w:rFonts w:ascii="Verdana" w:hAnsi="Verdana"/>
                <w:noProof/>
                <w:spacing w:val="-10"/>
              </w:rPr>
              <w:t>The information on the Action is published on the official website of the Slovak Railways, in the section:</w:t>
              <w:br/>
              <w:t xml:space="preserve">Verejnosť a médiá / Modernizácia tratí / Projekty spolufinancované EÚ / Stavby v realizácii / Implementácia GSM-R do siete ŽSR, úsek Varín – Košice – Čierna nad Tisou štátna hranica ( https://www.zsr.sk/5773 ) ensuring appropriate / high visibility to the EU co-financing.</w:t>
              <w:br/>
              <w:t xml:space="preserve"/>
              <w:br/>
              <w:t xml:space="preserve">The information is updated regularly four times a year at the end of March, June, September and December (see Annex 3.3).</w:t>
              <w:br/>
              <w:t xml:space="preserve"/>
              <w:br/>
              <w:t xml:space="preserve"/>
            </w:r>
          </w:p>
        </w:tc>
      </w:tr>
    </w:tbl>
    <w:p w:rsidR="00315323" w:rsidRDefault="00315323"/>
    <w:p w:rsidR="00315323" w:rsidRDefault="00315323"/>
    <w:tbl>
      <w:tblPr>
        <w:tblpPr w:horzAnchor="margin" w:leftFromText="180" w:rightFromText="180" w:tblpXSpec="center" w:tblpY="123" w:vertAnchor="text"/>
        <w:tblW w:type="pct" w:w="5000"/>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shd w:color="auto" w:fill="FFFFFF" w:val="clear"/>
        <w:tblLayout w:type="fixed"/>
        <w:tblLook w:firstColumn="0" w:firstRow="0" w:lastColumn="0" w:lastRow="0" w:noHBand="0" w:noVBand="0" w:val="0000"/>
      </w:tblPr>
      <w:tblGrid>
        <w:gridCol w:w="9242"/>
      </w:tblGrid>
      <w:tr w:rsidR="00315323" w:rsidRPr="00187B31" w:rsidTr="00112088">
        <w:trPr>
          <w:trHeight w:val="412"/>
        </w:trPr>
        <w:tc>
          <w:tcPr>
            <w:tcW w:type="dxa" w:w="9594"/>
            <w:shd w:color="auto" w:fill="99CCFF" w:val="clear"/>
            <w:tcMar>
              <w:top w:type="dxa" w:w="113"/>
              <w:bottom w:type="dxa" w:w="113"/>
            </w:tcMar>
          </w:tcPr>
          <w:p w:rsidP="00887EE8" w:rsidR="00315323" w:rsidRDefault="00315323" w:rsidRPr="00E14AB2">
            <w:pPr>
              <w:snapToGrid w:val="0"/>
              <w:spacing w:after="120" w:before="120"/>
              <w:ind w:left="113" w:right="-19"/>
              <w:rPr>
                <w:rFonts w:ascii="Verdana" w:hAnsi="Verdana"/>
                <w:b/>
                <w:spacing w:val="-10"/>
                <w:sz w:val="32"/>
                <w:szCs w:val="32"/>
              </w:rPr>
            </w:pPr>
            <w:r w:rsidRPr="00E14AB2">
              <w:rPr>
                <w:rFonts w:ascii="Verdana" w:hAnsi="Verdana"/>
                <w:b/>
                <w:spacing w:val="-10"/>
                <w:sz w:val="32"/>
                <w:szCs w:val="32"/>
              </w:rPr>
              <w:t xml:space="preserve">4. </w:t>
            </w:r>
            <w:r w:rsidRPr="00187B31">
              <w:rPr>
                <w:rFonts w:ascii="Verdana" w:hAnsi="Verdana"/>
                <w:b/>
                <w:spacing w:val="-10"/>
                <w:sz w:val="18"/>
              </w:rPr>
              <w:t xml:space="preserve"> </w:t>
            </w:r>
            <w:r>
              <w:rPr>
                <w:rFonts w:ascii="Verdana" w:hAnsi="Verdana"/>
                <w:b/>
                <w:spacing w:val="-10"/>
                <w:sz w:val="32"/>
                <w:szCs w:val="32"/>
              </w:rPr>
              <w:t xml:space="preserve">OTHER SOURCES OF EUROPEAN UNION FUNDS </w:t>
            </w:r>
            <w:r w:rsidRPr="006A511D">
              <w:rPr>
                <w:rFonts w:ascii="Verdana" w:hAnsi="Verdana"/>
                <w:b/>
                <w:spacing w:val="-10"/>
                <w:sz w:val="24"/>
                <w:szCs w:val="32"/>
              </w:rPr>
              <w:t xml:space="preserve">(CEF-E </w:t>
            </w:r>
            <w:r w:rsidR="00500527">
              <w:rPr>
                <w:rFonts w:ascii="Verdana" w:hAnsi="Verdana"/>
                <w:b/>
                <w:spacing w:val="-10"/>
                <w:sz w:val="24"/>
                <w:szCs w:val="32"/>
              </w:rPr>
              <w:t xml:space="preserve">and Synergy </w:t>
            </w:r>
            <w:r w:rsidRPr="006A511D">
              <w:rPr>
                <w:rFonts w:ascii="Verdana" w:hAnsi="Verdana"/>
                <w:b/>
                <w:spacing w:val="-10"/>
                <w:sz w:val="24"/>
                <w:szCs w:val="32"/>
              </w:rPr>
              <w:t>only, GA II.23.1.1.m</w:t>
            </w:r>
            <w:r>
              <w:rPr>
                <w:rFonts w:ascii="Verdana" w:hAnsi="Verdana"/>
                <w:b/>
                <w:spacing w:val="-10"/>
                <w:sz w:val="24"/>
                <w:szCs w:val="32"/>
              </w:rPr>
              <w:t xml:space="preserve"> </w:t>
            </w:r>
            <w:r w:rsidRPr="006A511D">
              <w:rPr>
                <w:rFonts w:ascii="Verdana" w:hAnsi="Verdana"/>
                <w:b/>
                <w:spacing w:val="-10"/>
                <w:sz w:val="24"/>
                <w:szCs w:val="32"/>
              </w:rPr>
              <w:t>)</w:t>
            </w:r>
          </w:p>
        </w:tc>
      </w:tr>
    </w:tbl>
    <w:p w:rsidR="00315323" w:rsidRDefault="00315323"/>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315323" w:rsidRPr="00187B31" w:rsidTr="00112088">
        <w:trPr>
          <w:trHeight w:val="264"/>
          <w:jc w:val="center"/>
        </w:trPr>
        <w:tc>
          <w:tcPr>
            <w:tcW w:type="dxa" w:w="9594"/>
            <w:shd w:color="auto" w:fill="99CCFF" w:val="clear"/>
            <w:tcMar>
              <w:top w:type="dxa" w:w="85"/>
              <w:bottom w:type="dxa" w:w="85"/>
            </w:tcMar>
          </w:tcPr>
          <w:p w:rsidP="0018280C" w:rsidR="00315323" w:rsidRDefault="00315323" w:rsidRPr="00187B31">
            <w:pPr>
              <w:keepNext/>
              <w:spacing w:after="120" w:before="120"/>
              <w:ind w:left="113"/>
              <w:rPr>
                <w:rFonts w:ascii="Verdana" w:hAnsi="Verdana"/>
                <w:b/>
                <w:spacing w:val="-10"/>
              </w:rPr>
            </w:pPr>
            <w:r>
              <w:rPr>
                <w:rFonts w:ascii="Verdana" w:hAnsi="Verdana"/>
                <w:b/>
                <w:spacing w:val="-10"/>
              </w:rPr>
              <w:t>If applicable, provide information about other sources of EU funds (</w:t>
            </w:r>
            <w:r w:rsidRPr="00970224">
              <w:rPr>
                <w:rFonts w:ascii="Verdana" w:hAnsi="Verdana"/>
                <w:b/>
                <w:spacing w:val="-10"/>
              </w:rPr>
              <w:t>CEF, ERDF, Cohesion Fund, H2020, TEN, EEPR, EIPA, etc.</w:t>
            </w:r>
            <w:r>
              <w:rPr>
                <w:rFonts w:ascii="Verdana" w:hAnsi="Verdana"/>
                <w:b/>
                <w:spacing w:val="-10"/>
              </w:rPr>
              <w:t xml:space="preserve">) used for the project of common interest (e.g. previous or subsequent phases not covered by the Grant Agreement). </w:t>
            </w:r>
          </w:p>
        </w:tc>
      </w:tr>
      <w:tr w:rsidR="00315323" w:rsidRPr="00187B31" w:rsidTr="00112088">
        <w:trPr>
          <w:trHeight w:val="2180"/>
          <w:jc w:val="center"/>
        </w:trPr>
        <w:tc>
          <w:tcPr>
            <w:tcW w:type="dxa" w:w="9594"/>
            <w:tcMar>
              <w:top w:type="dxa" w:w="85"/>
              <w:bottom w:type="dxa" w:w="85"/>
            </w:tcMar>
          </w:tcPr>
          <w:p w:rsidP="0061142E" w:rsidR="00315323" w:rsidRDefault="00C80F64" w:rsidRPr="00187B31">
            <w:pPr>
              <w:spacing w:after="120" w:before="120"/>
              <w:ind w:left="113"/>
              <w:rPr>
                <w:rFonts w:ascii="Verdana" w:hAnsi="Verdana"/>
                <w:spacing w:val="-10"/>
              </w:rPr>
            </w:pPr>
            <w:r>
              <w:rPr>
                <w:rFonts w:ascii="Verdana" w:hAnsi="Verdana"/>
                <w:noProof/>
                <w:spacing w:val="-10"/>
              </w:rPr>
              <w:t>Not applicable</w:t>
            </w:r>
          </w:p>
        </w:tc>
      </w:tr>
    </w:tbl>
    <w:p w:rsidR="00315323" w:rsidRDefault="00315323"/>
    <w:p w:rsidR="000B112E" w:rsidRDefault="000B112E">
      <w:pPr>
        <w:spacing w:after="0" w:line="240" w:lineRule="auto"/>
      </w:pPr>
      <w:r>
        <w:br w:type="page"/>
      </w:r>
    </w:p>
    <w:p w:rsidR="000B112E" w:rsidRDefault="000B112E"/>
    <w:tbl>
      <w:tblPr>
        <w:tblpPr w:horzAnchor="margin" w:leftFromText="180" w:rightFromText="180" w:tblpXSpec="center" w:tblpY="123" w:vertAnchor="text"/>
        <w:tblW w:type="pct" w:w="5000"/>
        <w:jc w:val="center"/>
        <w:tblBorders>
          <w:top w:color="auto" w:space="0" w:sz="18" w:val="single"/>
          <w:left w:color="auto" w:space="0" w:sz="18" w:val="single"/>
          <w:bottom w:color="auto" w:space="0" w:sz="18" w:val="single"/>
          <w:right w:color="auto" w:space="0" w:sz="18" w:val="single"/>
          <w:insideH w:color="auto" w:space="0" w:sz="18" w:val="single"/>
          <w:insideV w:color="auto" w:space="0" w:sz="18" w:val="single"/>
        </w:tblBorders>
        <w:shd w:color="auto" w:fill="FFFFFF" w:val="clear"/>
        <w:tblLayout w:type="fixed"/>
        <w:tblLook w:firstColumn="0" w:firstRow="0" w:lastColumn="0" w:lastRow="0" w:noHBand="0" w:noVBand="0" w:val="0000"/>
      </w:tblPr>
      <w:tblGrid>
        <w:gridCol w:w="9242"/>
      </w:tblGrid>
      <w:tr w:rsidR="000B112E" w:rsidRPr="00014C3A" w:rsidTr="0018280C">
        <w:trPr>
          <w:trHeight w:val="412"/>
          <w:jc w:val="center"/>
        </w:trPr>
        <w:tc>
          <w:tcPr>
            <w:tcW w:type="dxa" w:w="9594"/>
            <w:shd w:color="auto" w:fill="99CCFF" w:val="clear"/>
            <w:tcMar>
              <w:top w:type="dxa" w:w="113"/>
              <w:bottom w:type="dxa" w:w="113"/>
            </w:tcMar>
          </w:tcPr>
          <w:p w:rsidP="0018280C" w:rsidR="000B112E" w:rsidRDefault="000B112E" w:rsidRPr="00014C3A">
            <w:pPr>
              <w:snapToGrid w:val="0"/>
              <w:spacing w:after="120" w:before="120"/>
              <w:ind w:left="113" w:right="-19"/>
              <w:rPr>
                <w:rFonts w:ascii="Verdana" w:hAnsi="Verdana"/>
                <w:b/>
                <w:spacing w:val="-10"/>
                <w:sz w:val="32"/>
                <w:szCs w:val="32"/>
              </w:rPr>
            </w:pPr>
            <w:r>
              <w:rPr>
                <w:rFonts w:ascii="Verdana" w:hAnsi="Verdana"/>
                <w:b/>
                <w:spacing w:val="-10"/>
                <w:sz w:val="32"/>
                <w:szCs w:val="32"/>
              </w:rPr>
              <w:t>5</w:t>
            </w:r>
            <w:r w:rsidRPr="00014C3A">
              <w:rPr>
                <w:rFonts w:ascii="Verdana" w:hAnsi="Verdana"/>
                <w:b/>
                <w:spacing w:val="-10"/>
                <w:sz w:val="32"/>
                <w:szCs w:val="32"/>
              </w:rPr>
              <w:t>. COMPLIANCE WITH EU LEGISLATION</w:t>
            </w:r>
            <w:r>
              <w:rPr>
                <w:rFonts w:ascii="Verdana" w:hAnsi="Verdana"/>
                <w:b/>
                <w:spacing w:val="-10"/>
                <w:sz w:val="32"/>
                <w:szCs w:val="32"/>
              </w:rPr>
              <w:t xml:space="preserve"> </w:t>
            </w:r>
            <w:r w:rsidRPr="006A511D">
              <w:rPr>
                <w:rFonts w:ascii="Verdana" w:hAnsi="Verdana"/>
                <w:b/>
                <w:spacing w:val="-10"/>
                <w:sz w:val="24"/>
                <w:szCs w:val="32"/>
              </w:rPr>
              <w:t>(GA.II.23.1.1g and h</w:t>
            </w:r>
            <w:r>
              <w:rPr>
                <w:rFonts w:ascii="Verdana" w:hAnsi="Verdana"/>
                <w:b/>
                <w:spacing w:val="-10"/>
                <w:sz w:val="24"/>
                <w:szCs w:val="32"/>
              </w:rPr>
              <w:t>,  or SESAR FPA II.23.1b.g and h</w:t>
            </w:r>
            <w:r w:rsidRPr="006A511D">
              <w:rPr>
                <w:rFonts w:ascii="Verdana" w:hAnsi="Verdana"/>
                <w:b/>
                <w:spacing w:val="-10"/>
                <w:sz w:val="24"/>
                <w:szCs w:val="32"/>
              </w:rPr>
              <w:t>)</w:t>
            </w:r>
          </w:p>
        </w:tc>
      </w:tr>
    </w:tbl>
    <w:p w:rsidR="000B112E" w:rsidRDefault="000B112E"/>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0B112E" w:rsidRPr="00014C3A" w:rsidTr="0018280C">
        <w:trPr>
          <w:trHeight w:val="264"/>
          <w:jc w:val="center"/>
        </w:trPr>
        <w:tc>
          <w:tcPr>
            <w:tcW w:type="dxa" w:w="9594"/>
            <w:shd w:color="auto" w:fill="99CCFF" w:val="clear"/>
            <w:tcMar>
              <w:top w:type="dxa" w:w="85"/>
              <w:bottom w:type="dxa" w:w="85"/>
            </w:tcMar>
          </w:tcPr>
          <w:p w:rsidP="0018280C" w:rsidR="000B112E" w:rsidRDefault="00462537" w:rsidRPr="00014C3A">
            <w:pPr>
              <w:keepNext/>
              <w:spacing w:after="120" w:before="120"/>
              <w:ind w:left="113"/>
              <w:rPr>
                <w:rFonts w:ascii="Verdana" w:hAnsi="Verdana"/>
                <w:b/>
                <w:spacing w:val="-10"/>
              </w:rPr>
            </w:pPr>
            <w:r w:rsidRPr="00191404">
              <w:rPr>
                <w:rFonts w:ascii="Verdana" w:hAnsi="Verdana"/>
                <w:b/>
                <w:spacing w:val="-10"/>
              </w:rPr>
              <w:t xml:space="preserve">5.1. </w:t>
            </w:r>
            <w:r>
              <w:rPr>
                <w:rFonts w:ascii="Verdana" w:hAnsi="Verdana"/>
                <w:b/>
                <w:spacing w:val="-10"/>
              </w:rPr>
              <w:t>O</w:t>
            </w:r>
            <w:r w:rsidRPr="00191404">
              <w:rPr>
                <w:rFonts w:ascii="Verdana" w:hAnsi="Verdana"/>
                <w:b/>
                <w:spacing w:val="-10"/>
              </w:rPr>
              <w:t>verview of environmental aspects, compliance with EU and national legislation, issues during the implementation of the Action and measures taken.</w:t>
            </w:r>
          </w:p>
        </w:tc>
      </w:tr>
      <w:tr w:rsidR="000B112E" w:rsidRPr="00014C3A" w:rsidTr="0018280C">
        <w:trPr>
          <w:trHeight w:val="1646"/>
          <w:jc w:val="center"/>
        </w:trPr>
        <w:tc>
          <w:tcPr>
            <w:tcW w:type="dxa" w:w="9594"/>
            <w:tcMar>
              <w:top w:type="dxa" w:w="85"/>
              <w:bottom w:type="dxa" w:w="85"/>
            </w:tcMar>
          </w:tcPr>
          <w:p w:rsidP="0061142E" w:rsidR="000B112E" w:rsidRDefault="00211767" w:rsidRPr="00014C3A">
            <w:pPr>
              <w:spacing w:after="120" w:before="120"/>
              <w:ind w:left="113"/>
              <w:rPr>
                <w:rFonts w:ascii="Verdana" w:hAnsi="Verdana"/>
                <w:spacing w:val="-10"/>
              </w:rPr>
            </w:pPr>
            <w:r>
              <w:rPr>
                <w:rFonts w:ascii="Verdana" w:hAnsi="Verdana"/>
                <w:noProof/>
                <w:spacing w:val="-10"/>
              </w:rPr>
              <w:t>An appropriate assessment of the impacts of the Action on the Natura 2000 sites was completed in July 2019 (in accordance with the "Methodology of Assessing the Significance of the Impact of Plans and Projects on Natura 2000 Territory in the Slovak Republic" prepared by the State Nature Conservancy of the Slovak Republic in 2014).</w:t>
              <w:br/>
              <w:t xml:space="preserve"/>
              <w:br/>
              <w:t xml:space="preserve">The assessment has shown that the Action does not have any significant effect on the integrity of the NATURA 2000 sites.</w:t>
              <w:br/>
              <w:t xml:space="preserve"/>
              <w:br/>
              <w:t xml:space="preserve">The decision of the District Office in Žilina with an expert opinion on the implementation plan for this action was issued on 10/09/2019 and entered into force on 01/10/2019 (Annex 9).</w:t>
              <w:br/>
              <w:t xml:space="preserve"/>
            </w:r>
          </w:p>
        </w:tc>
      </w:tr>
    </w:tbl>
    <w:p w:rsidR="000B112E" w:rsidRDefault="000B112E"/>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0B112E" w:rsidRPr="00014C3A" w:rsidTr="0018280C">
        <w:trPr>
          <w:trHeight w:val="264"/>
          <w:jc w:val="center"/>
        </w:trPr>
        <w:tc>
          <w:tcPr>
            <w:tcW w:type="dxa" w:w="9594"/>
            <w:shd w:color="auto" w:fill="99CCFF" w:val="clear"/>
            <w:tcMar>
              <w:top w:type="dxa" w:w="85"/>
              <w:bottom w:type="dxa" w:w="85"/>
            </w:tcMar>
          </w:tcPr>
          <w:p w:rsidP="00462537" w:rsidR="00462537" w:rsidRDefault="00462537" w:rsidRPr="00191404">
            <w:pPr>
              <w:keepNext/>
              <w:spacing w:after="120" w:before="120"/>
              <w:ind w:left="113"/>
              <w:rPr>
                <w:rFonts w:ascii="Verdana" w:hAnsi="Verdana"/>
                <w:b/>
                <w:spacing w:val="-10"/>
              </w:rPr>
            </w:pPr>
            <w:r w:rsidRPr="00191404">
              <w:rPr>
                <w:rFonts w:ascii="Verdana" w:hAnsi="Verdana"/>
                <w:b/>
                <w:spacing w:val="-10"/>
              </w:rPr>
              <w:t>5.2. Where relevant, information on the compliance with EU legislation</w:t>
            </w:r>
            <w:r>
              <w:t xml:space="preserve"> </w:t>
            </w:r>
            <w:r w:rsidRPr="005C6642">
              <w:rPr>
                <w:rFonts w:ascii="Verdana" w:hAnsi="Verdana"/>
                <w:b/>
                <w:spacing w:val="-10"/>
              </w:rPr>
              <w:t>notably on procurement</w:t>
            </w:r>
            <w:r w:rsidRPr="00191404">
              <w:rPr>
                <w:rFonts w:ascii="Verdana" w:hAnsi="Verdana"/>
                <w:b/>
                <w:spacing w:val="-10"/>
              </w:rPr>
              <w:t xml:space="preserve">: </w:t>
            </w:r>
          </w:p>
          <w:p w:rsidP="00462537" w:rsidR="00462537" w:rsidRDefault="00462537" w:rsidRPr="00191404">
            <w:pPr>
              <w:keepNext/>
              <w:spacing w:after="120" w:before="120"/>
              <w:ind w:left="113"/>
              <w:rPr>
                <w:rFonts w:ascii="Verdana" w:hAnsi="Verdana"/>
                <w:b/>
                <w:spacing w:val="-10"/>
              </w:rPr>
            </w:pPr>
            <w:r w:rsidRPr="00191404">
              <w:rPr>
                <w:rFonts w:ascii="Verdana" w:hAnsi="Verdana"/>
                <w:b/>
                <w:spacing w:val="-10"/>
              </w:rPr>
              <w:t xml:space="preserve">- information on the contracts awarded </w:t>
            </w:r>
            <w:r w:rsidRPr="005C6642">
              <w:rPr>
                <w:rFonts w:ascii="Verdana" w:hAnsi="Verdana"/>
                <w:b/>
                <w:spacing w:val="-10"/>
              </w:rPr>
              <w:t xml:space="preserve">or planned </w:t>
            </w:r>
            <w:r w:rsidRPr="00191404">
              <w:rPr>
                <w:rFonts w:ascii="Verdana" w:hAnsi="Verdana"/>
                <w:b/>
                <w:spacing w:val="-10"/>
              </w:rPr>
              <w:t>for the implementation of the Action and on compliance with the requirements set out in GA II.9 and II.10</w:t>
            </w:r>
          </w:p>
          <w:p w:rsidP="00462537" w:rsidR="000B112E" w:rsidRDefault="00462537" w:rsidRPr="00014C3A">
            <w:pPr>
              <w:keepNext/>
              <w:spacing w:after="120" w:before="120"/>
              <w:ind w:left="113"/>
              <w:rPr>
                <w:rFonts w:ascii="Verdana" w:hAnsi="Verdana"/>
                <w:b/>
                <w:spacing w:val="-10"/>
              </w:rPr>
            </w:pPr>
            <w:r w:rsidRPr="00191404">
              <w:rPr>
                <w:rFonts w:ascii="Verdana" w:hAnsi="Verdana"/>
                <w:b/>
                <w:spacing w:val="-10"/>
              </w:rPr>
              <w:t>- regarding other matters, notably public procurement, competition, regulatory matters, (CEF-E only) the update of the CBCA decision, etc.</w:t>
            </w:r>
          </w:p>
        </w:tc>
      </w:tr>
      <w:tr w:rsidR="000B112E" w:rsidRPr="00014C3A" w:rsidTr="0018280C">
        <w:trPr>
          <w:trHeight w:val="1215"/>
          <w:jc w:val="center"/>
        </w:trPr>
        <w:tc>
          <w:tcPr>
            <w:tcW w:type="dxa" w:w="9594"/>
            <w:tcMar>
              <w:top w:type="dxa" w:w="85"/>
              <w:bottom w:type="dxa" w:w="85"/>
            </w:tcMar>
          </w:tcPr>
          <w:p w:rsidP="0061142E" w:rsidR="000B112E" w:rsidRDefault="00211767" w:rsidRPr="00014C3A">
            <w:pPr>
              <w:spacing w:after="120" w:before="120"/>
              <w:ind w:left="113"/>
              <w:rPr>
                <w:rFonts w:ascii="Verdana" w:hAnsi="Verdana"/>
                <w:spacing w:val="-10"/>
              </w:rPr>
            </w:pPr>
            <w:r>
              <w:rPr>
                <w:rFonts w:ascii="Verdana" w:hAnsi="Verdana"/>
                <w:noProof/>
                <w:spacing w:val="-10"/>
              </w:rPr>
              <w:t>Activity 1</w:t>
              <w:br/>
              <w:t xml:space="preserve"/>
              <w:br/>
              <w:t xml:space="preserve">Milestones 2 and 3</w:t>
              <w:br/>
              <w:t xml:space="preserve">The public procurement was carried out in accordance with the Act no. 343/2015 Coll. on Public Procurement and on amendments to certain laws as amended following the European Parliament and Council Directives 2014/23/EU, 2014/24/EU and 2014/25/EU.</w:t>
              <w:br/>
              <w:t xml:space="preserve">The more information on the Contract for a design contractor is as follows:</w:t>
              <w:br/>
              <w:t xml:space="preserve">Contract No. 18/18/1814 signed on 15/10/2018</w:t>
              <w:br/>
              <w:t xml:space="preserve">Design Contractor: REMING CONSULT a.s.</w:t>
              <w:br/>
              <w:t xml:space="preserve">Value of the contract: 2 049 000,00 EUR (without VAT)</w:t>
              <w:br/>
              <w:t xml:space="preserve">Type of tendering procedure: Open procedure</w:t>
              <w:br/>
              <w:t xml:space="preserve"/>
              <w:br/>
              <w:t xml:space="preserve">Milestones 8</w:t>
              <w:br/>
              <w:t xml:space="preserve">The conclusion of the contract is the result of the PP - open competition. The detailed information on the works contract for this action is as follows:</w:t>
              <w:br/>
              <w:t xml:space="preserve">Contract No. 2022/VIT/1432 (signed on 22/03/2023, entered into force on 28/03/2023).</w:t>
              <w:br/>
              <w:t xml:space="preserve">Contractor: Združenie „Společnost KONTRON + AŽD + EŽ“, Leading member: Kontron Transportation s.r.o, Ke Štvanici 656/3, Karlín, 186 00 Praha 8, Česká republika</w:t>
              <w:br/>
              <w:t xml:space="preserve">Value of the contract: 39 386 059,89  EUR (without VAT)</w:t>
              <w:br/>
              <w:t xml:space="preserve">Type of tendering procedure: open procedure</w:t>
              <w:br/>
              <w:t xml:space="preserve"/>
              <w:br/>
              <w:t xml:space="preserve">Milestones 9</w:t>
              <w:br/>
              <w:t xml:space="preserve">The detailed information on the contract for provision of audit services for the certification of expenditure for 2019 for this action is as follows:</w:t>
              <w:br/>
              <w:t xml:space="preserve">Contract No. O220-74/2020 signed on 07/07/2020</w:t>
              <w:br/>
              <w:t xml:space="preserve">Contractor: BDR, spol. s r.o., M. M. Hodžu 3, 974 01 Banská Bystrica</w:t>
              <w:br/>
              <w:t xml:space="preserve">Value of the contract: 3 500,00 EUR (without VAT)</w:t>
              <w:br/>
              <w:t xml:space="preserve">Type of tendering procedure: contract with a low value, which due to the financial limit is not announced either in the in the Official Journal of the EU (OJ) or in the in the Public Procurement Journal (PPJ). Ten companies were contacted to submit a bid, which is in accordance with Act no. 343/2015 Coll.. The principle of equal treatment and non-discrimination was observed when awarding the contract.</w:t>
              <w:br/>
              <w:t xml:space="preserve"/>
              <w:br/>
              <w:t xml:space="preserve">Milestones 6, 7, 9, 10, 11 and 13</w:t>
              <w:br/>
              <w:t xml:space="preserve">All other public procurements will be carried out in accordance with the Act no. 343/2015 Coll. on Public Procurement and on amendments to certain laws as amended following the European Parliament and Council Directives 2014/23/EU, 2014/24/EU and 2014/25/EU.</w:t>
              <w:br/>
              <w:t xml:space="preserve"/>
            </w:r>
          </w:p>
        </w:tc>
      </w:tr>
    </w:tbl>
    <w:p w:rsidR="000B112E" w:rsidRDefault="000B112E"/>
    <w:p w:rsidP="005A7064" w:rsidR="000B112E" w:rsidRDefault="000B112E">
      <w:pPr>
        <w:spacing w:after="0" w:line="240" w:lineRule="auto"/>
      </w:pPr>
      <w:r>
        <w:br w:type="page"/>
      </w:r>
    </w:p>
    <w:tbl>
      <w:tblPr>
        <w:tblpPr w:horzAnchor="margin" w:leftFromText="180" w:rightFromText="180" w:tblpXSpec="center" w:tblpY="123" w:vertAnchor="text"/>
        <w:tblW w:type="pct" w:w="5000"/>
        <w:jc w:val="center"/>
        <w:tblBorders>
          <w:top w:color="auto" w:space="0" w:sz="18" w:val="single"/>
          <w:left w:color="auto" w:space="0" w:sz="18" w:val="single"/>
          <w:bottom w:color="auto" w:space="0" w:sz="18" w:val="single"/>
          <w:right w:color="auto" w:space="0" w:sz="18" w:val="single"/>
          <w:insideH w:color="auto" w:space="0" w:sz="18" w:val="single"/>
          <w:insideV w:color="auto" w:space="0" w:sz="18" w:val="single"/>
        </w:tblBorders>
        <w:shd w:color="auto" w:fill="FFFFFF" w:val="clear"/>
        <w:tblLayout w:type="fixed"/>
        <w:tblLook w:firstColumn="0" w:firstRow="0" w:lastColumn="0" w:lastRow="0" w:noHBand="0" w:noVBand="0" w:val="0000"/>
      </w:tblPr>
      <w:tblGrid>
        <w:gridCol w:w="9242"/>
      </w:tblGrid>
      <w:tr w:rsidR="00F27E39" w:rsidRPr="00014C3A" w:rsidTr="0018280C">
        <w:trPr>
          <w:trHeight w:val="412"/>
          <w:jc w:val="center"/>
        </w:trPr>
        <w:tc>
          <w:tcPr>
            <w:tcW w:type="dxa" w:w="9594"/>
            <w:shd w:color="auto" w:fill="99CCFF" w:val="clear"/>
            <w:tcMar>
              <w:top w:type="dxa" w:w="113"/>
              <w:bottom w:type="dxa" w:w="113"/>
            </w:tcMar>
          </w:tcPr>
          <w:p w:rsidP="0018280C" w:rsidR="00F27E39" w:rsidRDefault="00F27E39" w:rsidRPr="00014C3A">
            <w:pPr>
              <w:snapToGrid w:val="0"/>
              <w:spacing w:after="120" w:before="120"/>
              <w:ind w:left="113" w:right="-19"/>
              <w:rPr>
                <w:rFonts w:ascii="Verdana" w:hAnsi="Verdana"/>
                <w:b/>
                <w:spacing w:val="-10"/>
                <w:sz w:val="32"/>
                <w:szCs w:val="32"/>
              </w:rPr>
            </w:pPr>
            <w:r>
              <w:rPr>
                <w:rFonts w:ascii="Verdana" w:hAnsi="Verdana"/>
                <w:b/>
                <w:spacing w:val="-10"/>
                <w:sz w:val="32"/>
                <w:szCs w:val="32"/>
              </w:rPr>
              <w:lastRenderedPageBreak/>
              <w:t>6</w:t>
            </w:r>
            <w:r w:rsidRPr="00014C3A">
              <w:rPr>
                <w:rFonts w:ascii="Verdana" w:hAnsi="Verdana"/>
                <w:b/>
                <w:spacing w:val="-10"/>
                <w:sz w:val="32"/>
                <w:szCs w:val="32"/>
              </w:rPr>
              <w:t xml:space="preserve">. </w:t>
            </w:r>
            <w:r>
              <w:rPr>
                <w:rFonts w:ascii="Verdana" w:hAnsi="Verdana"/>
                <w:b/>
                <w:spacing w:val="-10"/>
                <w:sz w:val="32"/>
                <w:szCs w:val="32"/>
              </w:rPr>
              <w:t>IMPLEMENTATION SCHEDULE, GOVERNANCE AND MONITORING</w:t>
            </w:r>
            <w:r w:rsidRPr="006A511D">
              <w:rPr>
                <w:rFonts w:ascii="Verdana" w:hAnsi="Verdana"/>
                <w:b/>
                <w:spacing w:val="-10"/>
                <w:sz w:val="32"/>
                <w:szCs w:val="32"/>
              </w:rPr>
              <w:t xml:space="preserve">, OTHER RELEVANT ADMINISTRATIVE PROVISIONS </w:t>
            </w:r>
            <w:r w:rsidRPr="006A511D">
              <w:rPr>
                <w:rFonts w:ascii="Verdana" w:hAnsi="Verdana"/>
                <w:b/>
                <w:spacing w:val="-10"/>
                <w:sz w:val="24"/>
                <w:szCs w:val="32"/>
              </w:rPr>
              <w:t>(GA II.23.1.1.k and l</w:t>
            </w:r>
            <w:r>
              <w:rPr>
                <w:rFonts w:ascii="Verdana" w:hAnsi="Verdana"/>
                <w:b/>
                <w:spacing w:val="-10"/>
                <w:sz w:val="24"/>
                <w:szCs w:val="32"/>
              </w:rPr>
              <w:t>,  or SESAR FPA II.23.1b.k and l</w:t>
            </w:r>
            <w:r w:rsidRPr="006A511D">
              <w:rPr>
                <w:rFonts w:ascii="Verdana" w:hAnsi="Verdana"/>
                <w:b/>
                <w:spacing w:val="-10"/>
                <w:sz w:val="24"/>
                <w:szCs w:val="32"/>
              </w:rPr>
              <w:t>)</w:t>
            </w:r>
          </w:p>
        </w:tc>
      </w:tr>
    </w:tbl>
    <w:p w:rsidR="00F27E39" w:rsidRDefault="00F27E39"/>
    <w:tbl>
      <w:tblPr>
        <w:tblW w:type="pct" w:w="4992"/>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27"/>
      </w:tblGrid>
      <w:tr w:rsidR="001E0C6D" w:rsidRPr="00014C3A" w:rsidTr="00CA70A8">
        <w:trPr>
          <w:trHeight w:val="264"/>
          <w:jc w:val="center"/>
        </w:trPr>
        <w:tc>
          <w:tcPr>
            <w:tcW w:type="dxa" w:w="9227"/>
            <w:shd w:color="auto" w:fill="99CCFF" w:val="clear"/>
            <w:tcMar>
              <w:top w:type="dxa" w:w="85"/>
              <w:bottom w:type="dxa" w:w="85"/>
            </w:tcMar>
          </w:tcPr>
          <w:p w:rsidP="0018280C" w:rsidR="001E0C6D" w:rsidRDefault="001E0C6D" w:rsidRPr="00014C3A">
            <w:pPr>
              <w:keepNext/>
              <w:spacing w:after="120" w:before="120"/>
              <w:rPr>
                <w:rFonts w:ascii="Verdana" w:hAnsi="Verdana"/>
                <w:b/>
                <w:spacing w:val="-10"/>
              </w:rPr>
            </w:pPr>
            <w:r w:rsidRPr="00FA3FBF">
              <w:rPr>
                <w:rFonts w:ascii="Verdana" w:hAnsi="Verdana"/>
                <w:b/>
                <w:spacing w:val="-10"/>
              </w:rPr>
              <w:t xml:space="preserve">6.1. </w:t>
            </w:r>
            <w:r w:rsidRPr="00FA3FBF">
              <w:rPr>
                <w:rFonts w:ascii="Verdana" w:hAnsi="Verdana"/>
                <w:b/>
                <w:spacing w:val="-10"/>
                <w:u w:val="single"/>
              </w:rPr>
              <w:t>In the first ASR</w:t>
            </w:r>
            <w:r w:rsidRPr="00FA3FBF">
              <w:rPr>
                <w:rFonts w:ascii="Verdana" w:hAnsi="Verdana"/>
                <w:b/>
                <w:spacing w:val="-10"/>
              </w:rPr>
              <w:t xml:space="preserve">, information on implementation schedule, such as critical path, key performance rates and risk analysis; </w:t>
            </w:r>
            <w:r w:rsidRPr="00FA3FBF">
              <w:rPr>
                <w:rFonts w:ascii="Verdana" w:hAnsi="Verdana"/>
                <w:b/>
                <w:spacing w:val="-10"/>
                <w:u w:val="single"/>
              </w:rPr>
              <w:t>in subsequent ASR</w:t>
            </w:r>
            <w:r w:rsidRPr="00FA3FBF">
              <w:rPr>
                <w:rFonts w:ascii="Verdana" w:hAnsi="Verdana"/>
                <w:b/>
                <w:spacing w:val="-10"/>
              </w:rPr>
              <w:t>, information on any modifications and, if applicable, on the progress of the implementation of the arrangements referred to in previous ASR. If there are changes in the Action timetable as compared to the l</w:t>
            </w:r>
            <w:r>
              <w:rPr>
                <w:rFonts w:ascii="Verdana" w:hAnsi="Verdana"/>
                <w:b/>
                <w:spacing w:val="-10"/>
              </w:rPr>
              <w:t>a</w:t>
            </w:r>
            <w:r w:rsidRPr="00FA3FBF">
              <w:rPr>
                <w:rFonts w:ascii="Verdana" w:hAnsi="Verdana"/>
                <w:b/>
                <w:spacing w:val="-10"/>
              </w:rPr>
              <w:t xml:space="preserve">test planning (Grant Agreement or </w:t>
            </w:r>
            <w:r>
              <w:rPr>
                <w:rFonts w:ascii="Verdana" w:hAnsi="Verdana"/>
                <w:b/>
                <w:spacing w:val="-10"/>
              </w:rPr>
              <w:t>previous</w:t>
            </w:r>
            <w:r w:rsidRPr="00FA3FBF">
              <w:rPr>
                <w:rFonts w:ascii="Verdana" w:hAnsi="Verdana"/>
                <w:b/>
                <w:spacing w:val="-10"/>
              </w:rPr>
              <w:t xml:space="preserve"> ASR), attach an updated Gantt chart.</w:t>
            </w:r>
          </w:p>
        </w:tc>
      </w:tr>
      <w:tr w:rsidR="001E0C6D" w:rsidRPr="00014C3A" w:rsidTr="00CA70A8">
        <w:trPr>
          <w:trHeight w:val="664"/>
          <w:jc w:val="center"/>
        </w:trPr>
        <w:tc>
          <w:tcPr>
            <w:tcW w:type="dxa" w:w="9227"/>
            <w:tcMar>
              <w:top w:type="dxa" w:w="85"/>
              <w:bottom w:type="dxa" w:w="85"/>
            </w:tcMar>
          </w:tcPr>
          <w:p w:rsidP="0061142E" w:rsidR="001E0C6D" w:rsidRDefault="00EB61FF" w:rsidRPr="00014C3A">
            <w:pPr>
              <w:spacing w:after="120" w:before="120"/>
              <w:ind w:left="113"/>
              <w:rPr>
                <w:rFonts w:ascii="Verdana" w:hAnsi="Verdana"/>
                <w:spacing w:val="-10"/>
              </w:rPr>
            </w:pPr>
            <w:r>
              <w:rPr>
                <w:rFonts w:ascii="Verdana" w:hAnsi="Verdana"/>
                <w:noProof/>
                <w:spacing w:val="-10"/>
              </w:rPr>
              <w:t>Action's planned implementation technical progress (cumulated %) is enclosed in the table in Annex 4.</w:t>
              <w:br/>
              <w:t xml:space="preserve"/>
              <w:br/>
              <w:t xml:space="preserve">The Gantt chart of the updated Action timetable is enclosed in Annex 5.</w:t>
              <w:br/>
              <w:t xml:space="preserve"/>
            </w:r>
          </w:p>
        </w:tc>
      </w:tr>
    </w:tbl>
    <w:p w:rsidR="00CA70A8" w:rsidRDefault="00CA70A8"/>
    <w:p w:rsidR="000809A7" w:rsidRDefault="00CA70A8">
      <w:pPr>
        <w:spacing w:after="0" w:line="240" w:lineRule="auto"/>
        <w:sectPr w:rsidR="000809A7" w:rsidSect="00876A81">
          <w:pgSz w:h="16838" w:w="11906"/>
          <w:pgMar w:bottom="1440" w:footer="709" w:gutter="0" w:header="709" w:left="1440" w:right="1440" w:top="737"/>
          <w:cols w:space="708"/>
          <w:docGrid w:linePitch="360"/>
        </w:sectPr>
      </w:pPr>
      <w:r>
        <w:br w:type="page"/>
      </w:r>
    </w:p>
    <w:p w:rsidP="00150FB2" w:rsidR="00CA70A8" w:rsidRDefault="00150FB2">
      <w:pPr>
        <w:spacing w:after="0" w:line="240" w:lineRule="auto"/>
        <w:jc w:val="center"/>
        <w:rPr>
          <w:rFonts w:eastAsia="Times New Roman"/>
          <w:b/>
          <w:bCs/>
          <w:lang w:eastAsia="en-GB"/>
        </w:rPr>
      </w:pPr>
      <w:r>
        <w:rPr>
          <w:rFonts w:eastAsia="Times New Roman"/>
          <w:b/>
          <w:bCs/>
          <w:lang w:eastAsia="en-GB"/>
        </w:rPr>
        <w:lastRenderedPageBreak/>
        <w:t>Action's i</w:t>
      </w:r>
      <w:r w:rsidRPr="00777720">
        <w:rPr>
          <w:rFonts w:eastAsia="Times New Roman"/>
          <w:b/>
          <w:bCs/>
          <w:lang w:eastAsia="en-GB"/>
        </w:rPr>
        <w:t xml:space="preserve">mplementation </w:t>
      </w:r>
      <w:r w:rsidR="00FA5D13">
        <w:rPr>
          <w:rFonts w:eastAsia="Times New Roman"/>
          <w:b/>
          <w:bCs/>
          <w:lang w:eastAsia="en-GB"/>
        </w:rPr>
        <w:t xml:space="preserve">technical </w:t>
      </w:r>
      <w:r w:rsidRPr="00777720">
        <w:rPr>
          <w:rFonts w:eastAsia="Times New Roman"/>
          <w:b/>
          <w:bCs/>
          <w:lang w:eastAsia="en-GB"/>
        </w:rPr>
        <w:t>progress (cumulated %)</w:t>
      </w:r>
    </w:p>
    <w:p w:rsidP="00150FB2" w:rsidR="003D1413" w:rsidRDefault="00A078D4" w:rsidRPr="00491DF7">
      <w:pPr>
        <w:spacing w:after="0" w:line="240" w:lineRule="auto"/>
        <w:jc w:val="center"/>
      </w:pPr>
      <w:r w:rsidRPr="00491DF7">
        <w:rPr>
          <w:noProof/>
        </w:rPr>
        <w:t/>
      </w:r>
    </w:p>
    <w:tbl>
      <w:tblPr>
        <w:tblStyle w:val="TableGrid0"/>
        <w:tblW w:type="pct" w:w="5000"/>
        <w:jc w:val="center"/>
        <w:tblLook w:firstColumn="1" w:firstRow="1" w:lastColumn="0" w:lastRow="0" w:noHBand="0" w:noVBand="1" w:val="04A0"/>
      </w:tblPr>
      <w:tblGrid>
        <w:gridCol w:w="4364"/>
        <w:gridCol w:w="5836"/>
        <w:gridCol w:w="4677"/>
      </w:tblGrid>
      <w:tr w:rsidR="00507998" w:rsidRPr="00A877EE" w:rsidTr="00A078D4">
        <w:trPr>
          <w:jc w:val="center"/>
        </w:trPr>
        <w:tc>
          <w:tcPr>
            <w:tcW w:type="dxa" w:w="3657"/>
            <w:vAlign w:val="center"/>
          </w:tcPr>
          <w:p w:rsidP="00841369" w:rsidR="00507998" w:rsidRDefault="00507998" w:rsidRPr="00491DF7">
            <w:pPr>
              <w:spacing w:after="0" w:line="240" w:lineRule="auto"/>
              <w:jc w:val="center"/>
            </w:pP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2017</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2018</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2019</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2020</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2021</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2022</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2023</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2024</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2025</w:t>
            </w:r>
          </w:p>
        </w:tc>
      </w:tr>
      <w:tr w:rsidR="00D805A0" w:rsidRPr="00D714FE" w:rsidTr="00A078D4">
        <w:trPr>
          <w:jc w:val="center"/>
        </w:trPr>
        <w:tc>
          <w:tcPr>
            <w:tcW w:type="dxa" w:w="3657"/>
            <w:vAlign w:val="center"/>
          </w:tcPr>
          <w:p w:rsidP="00841369" w:rsidR="00D805A0" w:rsidRDefault="00D805A0">
            <w:pPr>
              <w:spacing w:after="0" w:line="240" w:lineRule="auto"/>
              <w:jc w:val="center"/>
            </w:pPr>
            <w:r>
              <w:t>Action level</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r>
      <w:tr w:rsidR="00D805A0" w:rsidRPr="00251DEF" w:rsidTr="00A078D4">
        <w:trPr>
          <w:jc w:val="center"/>
        </w:trPr>
        <w:tc>
          <w:tcPr>
            <w:tcW w:type="dxa" w:w="3657"/>
            <w:vAlign w:val="center"/>
          </w:tcPr>
          <w:p w:rsidP="00841369" w:rsidR="00D805A0" w:rsidRDefault="00D805A0" w:rsidRPr="00D805A0">
            <w:pPr>
              <w:spacing w:after="0" w:line="240" w:lineRule="auto"/>
              <w:jc w:val="center"/>
              <w:rPr>
                <w:lang w:val="pt-PT"/>
              </w:rPr>
            </w:pPr>
          </w:p>
        </w:tc>
        <w:tc>
          <w:tcPr>
            <w:tcW w:type="dxa" w:w="6232"/>
            <w:vAlign w:val="center"/>
          </w:tcPr>
          <w:p w:rsidP="000E6B2B" w:rsidR="00D805A0" w:rsidRDefault="00FD13F3" w:rsidRPr="006F3248">
            <w:pPr>
              <w:spacing w:after="0" w:line="240" w:lineRule="auto"/>
              <w:jc w:val="center"/>
              <w:rPr>
                <w:lang w:val="pt-PT"/>
              </w:rPr>
            </w:pPr>
            <w:r w:rsidR="000E6B2B">
              <w:rPr>
                <w:noProof/>
              </w:rPr>
              <w:t>3</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3</w:t>
            </w:r>
          </w:p>
        </w:tc>
        <w:tc>
          <w:tcPr>
            <w:tcW w:type="dxa" w:w="6232"/>
            <w:vAlign w:val="center"/>
          </w:tcPr>
          <w:p w:rsidP="000E6B2B" w:rsidR="00D805A0" w:rsidRDefault="00FD13F3" w:rsidRPr="006F3248">
            <w:pPr>
              <w:spacing w:after="0" w:line="240" w:lineRule="auto"/>
              <w:jc w:val="center"/>
              <w:rPr>
                <w:lang w:val="pt-PT"/>
              </w:rPr>
            </w:pPr>
            <w:r w:rsidR="000E6B2B">
              <w:rPr>
                <w:noProof/>
              </w:rPr>
              <w:t>8</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8</w:t>
            </w:r>
          </w:p>
        </w:tc>
        <w:tc>
          <w:tcPr>
            <w:tcW w:type="dxa" w:w="6232"/>
            <w:vAlign w:val="center"/>
          </w:tcPr>
          <w:p w:rsidP="000E6B2B" w:rsidR="00D805A0" w:rsidRDefault="00FD13F3" w:rsidRPr="006F3248">
            <w:pPr>
              <w:spacing w:after="0" w:line="240" w:lineRule="auto"/>
              <w:jc w:val="center"/>
              <w:rPr>
                <w:lang w:val="pt-PT"/>
              </w:rPr>
            </w:pPr>
            <w:r w:rsidR="000E6B2B">
              <w:rPr>
                <w:noProof/>
              </w:rPr>
              <w:t>12</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12</w:t>
            </w:r>
          </w:p>
        </w:tc>
        <w:tc>
          <w:tcPr>
            <w:tcW w:type="dxa" w:w="6232"/>
            <w:vAlign w:val="center"/>
          </w:tcPr>
          <w:p w:rsidP="000E6B2B" w:rsidR="00D805A0" w:rsidRDefault="00FD13F3" w:rsidRPr="006F3248">
            <w:pPr>
              <w:spacing w:after="0" w:line="240" w:lineRule="auto"/>
              <w:jc w:val="center"/>
              <w:rPr>
                <w:lang w:val="pt-PT"/>
              </w:rPr>
            </w:pPr>
            <w:r w:rsidR="000E6B2B">
              <w:rPr>
                <w:noProof/>
              </w:rPr>
              <w:t>17</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17</w:t>
            </w:r>
          </w:p>
        </w:tc>
        <w:tc>
          <w:tcPr>
            <w:tcW w:type="dxa" w:w="6232"/>
            <w:vAlign w:val="center"/>
          </w:tcPr>
          <w:p w:rsidP="000E6B2B" w:rsidR="00D805A0" w:rsidRDefault="00FD13F3" w:rsidRPr="006F3248">
            <w:pPr>
              <w:spacing w:after="0" w:line="240" w:lineRule="auto"/>
              <w:jc w:val="center"/>
              <w:rPr>
                <w:lang w:val="pt-PT"/>
              </w:rPr>
            </w:pPr>
            <w:r w:rsidR="000E6B2B">
              <w:rPr>
                <w:noProof/>
              </w:rPr>
              <w:t>24</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24</w:t>
            </w:r>
          </w:p>
        </w:tc>
        <w:tc>
          <w:tcPr>
            <w:tcW w:type="dxa" w:w="6232"/>
            <w:vAlign w:val="center"/>
          </w:tcPr>
          <w:p w:rsidP="000E6B2B" w:rsidR="00D805A0" w:rsidRDefault="00FD13F3" w:rsidRPr="006F3248">
            <w:pPr>
              <w:spacing w:after="0" w:line="240" w:lineRule="auto"/>
              <w:jc w:val="center"/>
              <w:rPr>
                <w:lang w:val="pt-PT"/>
              </w:rPr>
            </w:pPr>
            <w:r w:rsidR="000E6B2B">
              <w:rPr>
                <w:noProof/>
              </w:rPr>
              <w:t>30</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30</w:t>
            </w:r>
          </w:p>
        </w:tc>
        <w:tc>
          <w:tcPr>
            <w:tcW w:type="dxa" w:w="6232"/>
            <w:vAlign w:val="center"/>
          </w:tcPr>
          <w:p w:rsidP="000E6B2B" w:rsidR="00D805A0" w:rsidRDefault="00FD13F3" w:rsidRPr="006F3248">
            <w:pPr>
              <w:spacing w:after="0" w:line="240" w:lineRule="auto"/>
              <w:jc w:val="center"/>
              <w:rPr>
                <w:lang w:val="pt-PT"/>
              </w:rPr>
            </w:pPr>
            <w:r w:rsidR="000E6B2B">
              <w:rPr>
                <w:noProof/>
              </w:rPr>
              <w:t>51</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40</w:t>
            </w:r>
          </w:p>
        </w:tc>
        <w:tc>
          <w:tcPr>
            <w:tcW w:type="dxa" w:w="6232"/>
            <w:vAlign w:val="center"/>
          </w:tcPr>
          <w:p w:rsidP="000E6B2B" w:rsidR="00D805A0" w:rsidRDefault="00FD13F3" w:rsidRPr="006F3248">
            <w:pPr>
              <w:spacing w:after="0" w:line="240" w:lineRule="auto"/>
              <w:jc w:val="center"/>
              <w:rPr>
                <w:lang w:val="pt-PT"/>
              </w:rPr>
            </w:pPr>
            <w:r w:rsidR="000E6B2B">
              <w:rPr>
                <w:noProof/>
              </w:rPr>
              <w:t>93</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95</w:t>
            </w:r>
          </w:p>
        </w:tc>
        <w:tc>
          <w:tcPr>
            <w:tcW w:type="dxa" w:w="6232"/>
            <w:vAlign w:val="center"/>
          </w:tcPr>
          <w:p w:rsidP="000E6B2B" w:rsidR="00D805A0" w:rsidRDefault="00FD13F3" w:rsidRPr="006F3248">
            <w:pPr>
              <w:spacing w:after="0" w:line="240" w:lineRule="auto"/>
              <w:jc w:val="center"/>
              <w:rPr>
                <w:lang w:val="pt-PT"/>
              </w:rPr>
            </w:pPr>
            <w:r w:rsidR="000E6B2B">
              <w:rPr>
                <w:noProof/>
              </w:rPr>
              <w:t>100</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100</w:t>
            </w:r>
          </w:p>
        </w:tc>
      </w:tr>
      <w:tr w:rsidR="0020115A" w:rsidRPr="00D714FE" w:rsidTr="00A078D4">
        <w:trPr>
          <w:jc w:val="center"/>
        </w:trPr>
        <w:tc>
          <w:tcPr>
            <w:tcW w:type="dxa" w:w="3657"/>
            <w:vAlign w:val="center"/>
          </w:tcPr>
          <w:p w:rsidP="00841369" w:rsidR="0020115A" w:rsidRDefault="0020115A">
            <w:pPr>
              <w:spacing w:after="0" w:line="240" w:lineRule="auto"/>
              <w:jc w:val="center"/>
            </w:pPr>
            <w:r>
              <w:t>Activity</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r>
      <w:tr w:rsidR="00A659C2" w:rsidRPr="00630816" w:rsidTr="00A078D4">
        <w:trPr>
          <w:jc w:val="center"/>
        </w:trPr>
        <w:tc>
          <w:tcPr>
            <w:tcW w:type="dxa" w:w="3657"/>
            <w:vAlign w:val="center"/>
          </w:tcPr>
          <w:p w:rsidP="00841369" w:rsidR="00A659C2" w:rsidRDefault="00E32B6D">
            <w:pPr>
              <w:spacing w:after="0" w:line="240" w:lineRule="auto"/>
              <w:jc w:val="center"/>
            </w:pPr>
            <w:r w:rsidR="008607F6">
              <w:rPr>
                <w:noProof/>
              </w:rPr>
              <w:t>1</w:t>
            </w:r>
          </w:p>
          <w:p w:rsidP="00841369" w:rsidR="00A659C2" w:rsidRDefault="00E035B3">
            <w:pPr>
              <w:spacing w:after="0" w:line="240" w:lineRule="auto"/>
              <w:jc w:val="center"/>
            </w:pPr>
          </w:p>
        </w:tc>
        <w:tc>
          <w:tcPr>
            <w:tcW w:type="dxa" w:w="6232"/>
            <w:vAlign w:val="center"/>
          </w:tcPr>
          <w:p w:rsidP="001B0513" w:rsidR="00A659C2" w:rsidRDefault="00E035B3" w:rsidRPr="00D805A0">
            <w:pPr>
              <w:spacing w:after="0" w:line="240" w:lineRule="auto"/>
              <w:jc w:val="center"/>
            </w:pPr>
            <w:r w:rsidR="001B0513">
              <w:rPr>
                <w:noProof/>
              </w:rPr>
              <w:t>9</w:t>
            </w:r>
          </w:p>
        </w:tc>
        <w:tc>
          <w:tcPr>
            <w:tcW w:type="dxa" w:w="4988"/>
            <w:vAlign w:val="center"/>
          </w:tcPr>
          <w:p w:rsidP="005A1FD4" w:rsidR="00A659C2" w:rsidRDefault="00E32B6D" w:rsidRPr="002A6691">
            <w:pPr>
              <w:spacing w:after="0" w:line="240" w:lineRule="auto"/>
              <w:jc w:val="center"/>
            </w:pPr>
            <w:r w:rsidR="009A6BA9">
              <w:rPr>
                <w:noProof/>
              </w:rPr>
              <w:t>9</w:t>
            </w:r>
          </w:p>
        </w:tc>
        <w:tc>
          <w:tcPr>
            <w:tcW w:type="dxa" w:w="6232"/>
            <w:vAlign w:val="center"/>
          </w:tcPr>
          <w:p w:rsidP="001B0513" w:rsidR="00A659C2" w:rsidRDefault="00E035B3" w:rsidRPr="00D805A0">
            <w:pPr>
              <w:spacing w:after="0" w:line="240" w:lineRule="auto"/>
              <w:jc w:val="center"/>
            </w:pPr>
            <w:r w:rsidR="001B0513">
              <w:rPr>
                <w:noProof/>
              </w:rPr>
              <w:t>23</w:t>
            </w:r>
          </w:p>
        </w:tc>
        <w:tc>
          <w:tcPr>
            <w:tcW w:type="dxa" w:w="4988"/>
            <w:vAlign w:val="center"/>
          </w:tcPr>
          <w:p w:rsidP="005A1FD4" w:rsidR="00A659C2" w:rsidRDefault="00E32B6D" w:rsidRPr="002A6691">
            <w:pPr>
              <w:spacing w:after="0" w:line="240" w:lineRule="auto"/>
              <w:jc w:val="center"/>
            </w:pPr>
            <w:r w:rsidR="009A6BA9">
              <w:rPr>
                <w:noProof/>
              </w:rPr>
              <w:t>23</w:t>
            </w:r>
          </w:p>
        </w:tc>
        <w:tc>
          <w:tcPr>
            <w:tcW w:type="dxa" w:w="6232"/>
            <w:vAlign w:val="center"/>
          </w:tcPr>
          <w:p w:rsidP="001B0513" w:rsidR="00A659C2" w:rsidRDefault="00E035B3" w:rsidRPr="00D805A0">
            <w:pPr>
              <w:spacing w:after="0" w:line="240" w:lineRule="auto"/>
              <w:jc w:val="center"/>
            </w:pPr>
            <w:r w:rsidR="001B0513">
              <w:rPr>
                <w:noProof/>
              </w:rPr>
              <w:t>35</w:t>
            </w:r>
          </w:p>
        </w:tc>
        <w:tc>
          <w:tcPr>
            <w:tcW w:type="dxa" w:w="4988"/>
            <w:vAlign w:val="center"/>
          </w:tcPr>
          <w:p w:rsidP="005A1FD4" w:rsidR="00A659C2" w:rsidRDefault="00E32B6D" w:rsidRPr="002A6691">
            <w:pPr>
              <w:spacing w:after="0" w:line="240" w:lineRule="auto"/>
              <w:jc w:val="center"/>
            </w:pPr>
            <w:r w:rsidR="009A6BA9">
              <w:rPr>
                <w:noProof/>
              </w:rPr>
              <w:t>35</w:t>
            </w:r>
          </w:p>
        </w:tc>
        <w:tc>
          <w:tcPr>
            <w:tcW w:type="dxa" w:w="6232"/>
            <w:vAlign w:val="center"/>
          </w:tcPr>
          <w:p w:rsidP="001B0513" w:rsidR="00A659C2" w:rsidRDefault="00E035B3" w:rsidRPr="00D805A0">
            <w:pPr>
              <w:spacing w:after="0" w:line="240" w:lineRule="auto"/>
              <w:jc w:val="center"/>
            </w:pPr>
            <w:r w:rsidR="001B0513">
              <w:rPr>
                <w:noProof/>
              </w:rPr>
              <w:t>48</w:t>
            </w:r>
          </w:p>
        </w:tc>
        <w:tc>
          <w:tcPr>
            <w:tcW w:type="dxa" w:w="4988"/>
            <w:vAlign w:val="center"/>
          </w:tcPr>
          <w:p w:rsidP="005A1FD4" w:rsidR="00A659C2" w:rsidRDefault="00E32B6D" w:rsidRPr="002A6691">
            <w:pPr>
              <w:spacing w:after="0" w:line="240" w:lineRule="auto"/>
              <w:jc w:val="center"/>
            </w:pPr>
            <w:r w:rsidR="009A6BA9">
              <w:rPr>
                <w:noProof/>
              </w:rPr>
              <w:t>48</w:t>
            </w:r>
          </w:p>
        </w:tc>
        <w:tc>
          <w:tcPr>
            <w:tcW w:type="dxa" w:w="6232"/>
            <w:vAlign w:val="center"/>
          </w:tcPr>
          <w:p w:rsidP="001B0513" w:rsidR="00A659C2" w:rsidRDefault="00E035B3" w:rsidRPr="00D805A0">
            <w:pPr>
              <w:spacing w:after="0" w:line="240" w:lineRule="auto"/>
              <w:jc w:val="center"/>
            </w:pPr>
            <w:r w:rsidR="001B0513">
              <w:rPr>
                <w:noProof/>
              </w:rPr>
              <w:t>70</w:t>
            </w:r>
          </w:p>
        </w:tc>
        <w:tc>
          <w:tcPr>
            <w:tcW w:type="dxa" w:w="4988"/>
            <w:vAlign w:val="center"/>
          </w:tcPr>
          <w:p w:rsidP="005A1FD4" w:rsidR="00A659C2" w:rsidRDefault="00E32B6D" w:rsidRPr="002A6691">
            <w:pPr>
              <w:spacing w:after="0" w:line="240" w:lineRule="auto"/>
              <w:jc w:val="center"/>
            </w:pPr>
            <w:r w:rsidR="009A6BA9">
              <w:rPr>
                <w:noProof/>
              </w:rPr>
              <w:t>70</w:t>
            </w:r>
          </w:p>
        </w:tc>
        <w:tc>
          <w:tcPr>
            <w:tcW w:type="dxa" w:w="6232"/>
            <w:vAlign w:val="center"/>
          </w:tcPr>
          <w:p w:rsidP="001B0513" w:rsidR="00A659C2" w:rsidRDefault="00E035B3" w:rsidRPr="00D805A0">
            <w:pPr>
              <w:spacing w:after="0" w:line="240" w:lineRule="auto"/>
              <w:jc w:val="center"/>
            </w:pPr>
            <w:r w:rsidR="001B0513">
              <w:rPr>
                <w:noProof/>
              </w:rPr>
              <w:t>89</w:t>
            </w:r>
          </w:p>
        </w:tc>
        <w:tc>
          <w:tcPr>
            <w:tcW w:type="dxa" w:w="4988"/>
            <w:vAlign w:val="center"/>
          </w:tcPr>
          <w:p w:rsidP="005A1FD4" w:rsidR="00A659C2" w:rsidRDefault="00E32B6D" w:rsidRPr="002A6691">
            <w:pPr>
              <w:spacing w:after="0" w:line="240" w:lineRule="auto"/>
              <w:jc w:val="center"/>
            </w:pPr>
            <w:r w:rsidR="009A6BA9">
              <w:rPr>
                <w:noProof/>
              </w:rPr>
              <w:t>89</w:t>
            </w:r>
          </w:p>
        </w:tc>
        <w:tc>
          <w:tcPr>
            <w:tcW w:type="dxa" w:w="6232"/>
            <w:vAlign w:val="center"/>
          </w:tcPr>
          <w:p w:rsidP="001B0513" w:rsidR="00A659C2" w:rsidRDefault="00E035B3" w:rsidRPr="00D805A0">
            <w:pPr>
              <w:spacing w:after="0" w:line="240" w:lineRule="auto"/>
              <w:jc w:val="center"/>
            </w:pPr>
            <w:r w:rsidR="001B0513">
              <w:rPr>
                <w:noProof/>
              </w:rPr>
              <w:t>98</w:t>
            </w:r>
          </w:p>
        </w:tc>
        <w:tc>
          <w:tcPr>
            <w:tcW w:type="dxa" w:w="4988"/>
            <w:vAlign w:val="center"/>
          </w:tcPr>
          <w:p w:rsidP="005A1FD4" w:rsidR="00A659C2" w:rsidRDefault="00E32B6D" w:rsidRPr="002A6691">
            <w:pPr>
              <w:spacing w:after="0" w:line="240" w:lineRule="auto"/>
              <w:jc w:val="center"/>
            </w:pPr>
            <w:r w:rsidR="009A6BA9">
              <w:rPr>
                <w:noProof/>
              </w:rPr>
              <w:t>98</w:t>
            </w:r>
          </w:p>
        </w:tc>
        <w:tc>
          <w:tcPr>
            <w:tcW w:type="dxa" w:w="6232"/>
            <w:vAlign w:val="center"/>
          </w:tcPr>
          <w:p w:rsidP="001B0513" w:rsidR="00A659C2" w:rsidRDefault="00E035B3" w:rsidRPr="00D805A0">
            <w:pPr>
              <w:spacing w:after="0" w:line="240" w:lineRule="auto"/>
              <w:jc w:val="center"/>
            </w:pPr>
            <w:r w:rsidR="001B0513">
              <w:rPr>
                <w:noProof/>
              </w:rPr>
              <w:t>100</w:t>
            </w:r>
          </w:p>
        </w:tc>
        <w:tc>
          <w:tcPr>
            <w:tcW w:type="dxa" w:w="4988"/>
            <w:vAlign w:val="center"/>
          </w:tcPr>
          <w:p w:rsidP="005A1FD4" w:rsidR="00A659C2" w:rsidRDefault="00E32B6D" w:rsidRPr="002A6691">
            <w:pPr>
              <w:spacing w:after="0" w:line="240" w:lineRule="auto"/>
              <w:jc w:val="center"/>
            </w:pPr>
            <w:r w:rsidR="009A6BA9">
              <w:rPr>
                <w:noProof/>
              </w:rPr>
              <w:t>100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100</w:t>
            </w:r>
          </w:p>
        </w:tc>
      </w:tr>
      <w:tr w:rsidR="00A659C2" w:rsidRPr="00630816" w:rsidTr="00A078D4">
        <w:trPr>
          <w:jc w:val="center"/>
        </w:trPr>
        <w:tc>
          <w:tcPr>
            <w:tcW w:type="dxa" w:w="3657"/>
            <w:vAlign w:val="center"/>
          </w:tcPr>
          <w:p w:rsidP="00841369" w:rsidR="00A659C2" w:rsidRDefault="00E32B6D">
            <w:pPr>
              <w:spacing w:after="0" w:line="240" w:lineRule="auto"/>
              <w:jc w:val="center"/>
            </w:pPr>
            <w:r w:rsidR="008607F6">
              <w:rPr>
                <w:noProof/>
              </w:rPr>
              <w:t>2</w:t>
            </w:r>
          </w:p>
          <w:p w:rsidP="00841369" w:rsidR="00A659C2" w:rsidRDefault="00E035B3">
            <w:pPr>
              <w:spacing w:after="0" w:line="240" w:lineRule="auto"/>
              <w:jc w:val="center"/>
            </w:pP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8</w:t>
            </w:r>
          </w:p>
        </w:tc>
        <w:tc>
          <w:tcPr>
            <w:tcW w:type="dxa" w:w="4988"/>
            <w:vAlign w:val="center"/>
          </w:tcPr>
          <w:p w:rsidP="005A1FD4" w:rsidR="00A659C2" w:rsidRDefault="00E32B6D" w:rsidRPr="002A6691">
            <w:pPr>
              <w:spacing w:after="0" w:line="240" w:lineRule="auto"/>
              <w:jc w:val="center"/>
            </w:pPr>
            <w:r w:rsidR="009A6BA9">
              <w:rPr>
                <w:noProof/>
              </w:rPr>
              <w:t>13</w:t>
            </w:r>
          </w:p>
        </w:tc>
        <w:tc>
          <w:tcPr>
            <w:tcW w:type="dxa" w:w="6232"/>
            <w:vAlign w:val="center"/>
          </w:tcPr>
          <w:p w:rsidP="001B0513" w:rsidR="00A659C2" w:rsidRDefault="00E035B3" w:rsidRPr="00D805A0">
            <w:pPr>
              <w:spacing w:after="0" w:line="240" w:lineRule="auto"/>
              <w:jc w:val="center"/>
            </w:pPr>
            <w:r w:rsidR="001B0513">
              <w:rPr>
                <w:noProof/>
              </w:rPr>
              <w:t>75</w:t>
            </w:r>
          </w:p>
        </w:tc>
        <w:tc>
          <w:tcPr>
            <w:tcW w:type="dxa" w:w="4988"/>
            <w:vAlign w:val="center"/>
          </w:tcPr>
          <w:p w:rsidP="005A1FD4" w:rsidR="00A659C2" w:rsidRDefault="00E32B6D" w:rsidRPr="002A6691">
            <w:pPr>
              <w:spacing w:after="0" w:line="240" w:lineRule="auto"/>
              <w:jc w:val="center"/>
            </w:pPr>
            <w:r w:rsidR="009A6BA9">
              <w:rPr>
                <w:noProof/>
              </w:rPr>
              <w:t>89</w:t>
            </w:r>
          </w:p>
        </w:tc>
        <w:tc>
          <w:tcPr>
            <w:tcW w:type="dxa" w:w="6232"/>
            <w:vAlign w:val="center"/>
          </w:tcPr>
          <w:p w:rsidP="001B0513" w:rsidR="00A659C2" w:rsidRDefault="00E035B3" w:rsidRPr="00D805A0">
            <w:pPr>
              <w:spacing w:after="0" w:line="240" w:lineRule="auto"/>
              <w:jc w:val="center"/>
            </w:pPr>
            <w:r w:rsidR="001B0513">
              <w:rPr>
                <w:noProof/>
              </w:rPr>
              <w:t>100</w:t>
            </w:r>
          </w:p>
        </w:tc>
        <w:tc>
          <w:tcPr>
            <w:tcW w:type="dxa" w:w="4988"/>
            <w:vAlign w:val="center"/>
          </w:tcPr>
          <w:p w:rsidP="005A1FD4" w:rsidR="00A659C2" w:rsidRDefault="00E32B6D" w:rsidRPr="002A6691">
            <w:pPr>
              <w:spacing w:after="0" w:line="240" w:lineRule="auto"/>
              <w:jc w:val="center"/>
            </w:pPr>
            <w:r w:rsidR="009A6BA9">
              <w:rPr>
                <w:noProof/>
              </w:rPr>
              <w:t>100</w:t>
            </w:r>
          </w:p>
        </w:tc>
      </w:tr>
      <w:tr w:rsidR="00A659C2" w:rsidRPr="00630816" w:rsidTr="00A078D4">
        <w:trPr>
          <w:jc w:val="center"/>
        </w:trPr>
        <w:tc>
          <w:tcPr>
            <w:tcW w:type="dxa" w:w="3657"/>
            <w:vAlign w:val="center"/>
          </w:tcPr>
          <w:p w:rsidP="00841369" w:rsidR="00A659C2" w:rsidRDefault="00E32B6D">
            <w:pPr>
              <w:spacing w:after="0" w:line="240" w:lineRule="auto"/>
              <w:jc w:val="center"/>
            </w:pPr>
            <w:r w:rsidR="008607F6">
              <w:rPr>
                <w:noProof/>
              </w:rPr>
              <w:t>3</w:t>
            </w:r>
          </w:p>
          <w:p w:rsidP="00841369" w:rsidR="00A659C2" w:rsidRDefault="00E035B3">
            <w:pPr>
              <w:spacing w:after="0" w:line="240" w:lineRule="auto"/>
              <w:jc w:val="center"/>
            </w:pP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38</w:t>
            </w:r>
          </w:p>
        </w:tc>
        <w:tc>
          <w:tcPr>
            <w:tcW w:type="dxa" w:w="4988"/>
            <w:vAlign w:val="center"/>
          </w:tcPr>
          <w:p w:rsidP="005A1FD4" w:rsidR="00A659C2" w:rsidRDefault="00E32B6D" w:rsidRPr="002A6691">
            <w:pPr>
              <w:spacing w:after="0" w:line="240" w:lineRule="auto"/>
              <w:jc w:val="center"/>
            </w:pPr>
            <w:r w:rsidR="009A6BA9">
              <w:rPr>
                <w:noProof/>
              </w:rPr>
              <w:t>11</w:t>
            </w:r>
          </w:p>
        </w:tc>
        <w:tc>
          <w:tcPr>
            <w:tcW w:type="dxa" w:w="6232"/>
            <w:vAlign w:val="center"/>
          </w:tcPr>
          <w:p w:rsidP="001B0513" w:rsidR="00A659C2" w:rsidRDefault="00E035B3" w:rsidRPr="00D805A0">
            <w:pPr>
              <w:spacing w:after="0" w:line="240" w:lineRule="auto"/>
              <w:jc w:val="center"/>
            </w:pPr>
            <w:r w:rsidR="001B0513">
              <w:rPr>
                <w:noProof/>
              </w:rPr>
              <w:t>100</w:t>
            </w:r>
          </w:p>
        </w:tc>
        <w:tc>
          <w:tcPr>
            <w:tcW w:type="dxa" w:w="4988"/>
            <w:vAlign w:val="center"/>
          </w:tcPr>
          <w:p w:rsidP="005A1FD4" w:rsidR="00A659C2" w:rsidRDefault="00E32B6D" w:rsidRPr="002A6691">
            <w:pPr>
              <w:spacing w:after="0" w:line="240" w:lineRule="auto"/>
              <w:jc w:val="center"/>
            </w:pPr>
            <w:r w:rsidR="009A6BA9">
              <w:rPr>
                <w:noProof/>
              </w:rPr>
              <w:t>100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100</w:t>
            </w:r>
          </w:p>
        </w:tc>
      </w:tr>
      <w:tr w:rsidR="00A659C2" w:rsidRPr="00630816" w:rsidTr="00A078D4">
        <w:trPr>
          <w:jc w:val="center"/>
        </w:trPr>
        <w:tc>
          <w:tcPr>
            <w:tcW w:type="dxa" w:w="3657"/>
            <w:vAlign w:val="center"/>
          </w:tcPr>
          <w:p w:rsidP="00841369" w:rsidR="00A659C2" w:rsidRDefault="00E32B6D">
            <w:pPr>
              <w:spacing w:after="0" w:line="240" w:lineRule="auto"/>
              <w:jc w:val="center"/>
            </w:pPr>
            <w:r w:rsidR="008607F6">
              <w:rPr>
                <w:noProof/>
              </w:rPr>
              <w:t>4</w:t>
            </w:r>
          </w:p>
          <w:p w:rsidP="00841369" w:rsidR="00A659C2" w:rsidRDefault="00E035B3">
            <w:pPr>
              <w:spacing w:after="0" w:line="240" w:lineRule="auto"/>
              <w:jc w:val="center"/>
            </w:pPr>
          </w:p>
        </w:tc>
        <w:tc>
          <w:tcPr>
            <w:tcW w:type="dxa" w:w="6232"/>
            <w:vAlign w:val="center"/>
          </w:tcPr>
          <w:p w:rsidP="001B0513" w:rsidR="00A659C2" w:rsidRDefault="00E035B3" w:rsidRPr="00D805A0">
            <w:pPr>
              <w:spacing w:after="0" w:line="240" w:lineRule="auto"/>
              <w:jc w:val="center"/>
            </w:pPr>
            <w:r w:rsidR="001B0513">
              <w:rPr>
                <w:noProof/>
              </w:rPr>
              <w:t>0</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20</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30</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60</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60</w:t>
            </w:r>
          </w:p>
        </w:tc>
        <w:tc>
          <w:tcPr>
            <w:tcW w:type="dxa" w:w="4988"/>
            <w:vAlign w:val="center"/>
          </w:tcPr>
          <w:p w:rsidP="005A1FD4" w:rsidR="00A659C2" w:rsidRDefault="00E32B6D" w:rsidRPr="002A6691">
            <w:pPr>
              <w:spacing w:after="0" w:line="240" w:lineRule="auto"/>
              <w:jc w:val="center"/>
            </w:pPr>
            <w:r w:rsidR="009A6BA9">
              <w:rPr>
                <w:noProof/>
              </w:rPr>
              <w:t>60</w:t>
            </w:r>
          </w:p>
        </w:tc>
        <w:tc>
          <w:tcPr>
            <w:tcW w:type="dxa" w:w="6232"/>
            <w:vAlign w:val="center"/>
          </w:tcPr>
          <w:p w:rsidP="001B0513" w:rsidR="00A659C2" w:rsidRDefault="00E035B3" w:rsidRPr="00D805A0">
            <w:pPr>
              <w:spacing w:after="0" w:line="240" w:lineRule="auto"/>
              <w:jc w:val="center"/>
            </w:pPr>
            <w:r w:rsidR="001B0513">
              <w:rPr>
                <w:noProof/>
              </w:rPr>
              <w:t>60</w:t>
            </w:r>
          </w:p>
        </w:tc>
        <w:tc>
          <w:tcPr>
            <w:tcW w:type="dxa" w:w="4988"/>
            <w:vAlign w:val="center"/>
          </w:tcPr>
          <w:p w:rsidP="005A1FD4" w:rsidR="00A659C2" w:rsidRDefault="00E32B6D" w:rsidRPr="002A6691">
            <w:pPr>
              <w:spacing w:after="0" w:line="240" w:lineRule="auto"/>
              <w:jc w:val="center"/>
            </w:pPr>
            <w:r w:rsidR="009A6BA9">
              <w:rPr>
                <w:noProof/>
              </w:rPr>
              <w:t>60</w:t>
            </w:r>
          </w:p>
        </w:tc>
        <w:tc>
          <w:tcPr>
            <w:tcW w:type="dxa" w:w="6232"/>
            <w:vAlign w:val="center"/>
          </w:tcPr>
          <w:p w:rsidP="001B0513" w:rsidR="00A659C2" w:rsidRDefault="00E035B3" w:rsidRPr="00D805A0">
            <w:pPr>
              <w:spacing w:after="0" w:line="240" w:lineRule="auto"/>
              <w:jc w:val="center"/>
            </w:pPr>
            <w:r w:rsidR="001B0513">
              <w:rPr>
                <w:noProof/>
              </w:rPr>
              <w:t>60</w:t>
            </w:r>
          </w:p>
        </w:tc>
        <w:tc>
          <w:tcPr>
            <w:tcW w:type="dxa" w:w="4988"/>
            <w:vAlign w:val="center"/>
          </w:tcPr>
          <w:p w:rsidP="005A1FD4" w:rsidR="00A659C2" w:rsidRDefault="00E32B6D" w:rsidRPr="002A6691">
            <w:pPr>
              <w:spacing w:after="0" w:line="240" w:lineRule="auto"/>
              <w:jc w:val="center"/>
            </w:pPr>
            <w:r w:rsidR="009A6BA9">
              <w:rPr>
                <w:noProof/>
              </w:rPr>
              <w:t>60</w:t>
            </w:r>
          </w:p>
        </w:tc>
        <w:tc>
          <w:tcPr>
            <w:tcW w:type="dxa" w:w="6232"/>
            <w:vAlign w:val="center"/>
          </w:tcPr>
          <w:p w:rsidP="001B0513" w:rsidR="00A659C2" w:rsidRDefault="00E035B3" w:rsidRPr="00D805A0">
            <w:pPr>
              <w:spacing w:after="0" w:line="240" w:lineRule="auto"/>
              <w:jc w:val="center"/>
            </w:pPr>
            <w:r w:rsidR="001B0513">
              <w:rPr>
                <w:noProof/>
              </w:rPr>
              <w:t>60</w:t>
            </w:r>
          </w:p>
        </w:tc>
        <w:tc>
          <w:tcPr>
            <w:tcW w:type="dxa" w:w="4988"/>
            <w:vAlign w:val="center"/>
          </w:tcPr>
          <w:p w:rsidP="005A1FD4" w:rsidR="00A659C2" w:rsidRDefault="00E32B6D" w:rsidRPr="002A6691">
            <w:pPr>
              <w:spacing w:after="0" w:line="240" w:lineRule="auto"/>
              <w:jc w:val="center"/>
            </w:pPr>
            <w:r w:rsidR="009A6BA9">
              <w:rPr>
                <w:noProof/>
              </w:rPr>
              <w:t>60</w:t>
            </w:r>
          </w:p>
        </w:tc>
        <w:tc>
          <w:tcPr>
            <w:tcW w:type="dxa" w:w="6232"/>
            <w:vAlign w:val="center"/>
          </w:tcPr>
          <w:p w:rsidP="001B0513" w:rsidR="00A659C2" w:rsidRDefault="00E035B3" w:rsidRPr="00D805A0">
            <w:pPr>
              <w:spacing w:after="0" w:line="240" w:lineRule="auto"/>
              <w:jc w:val="center"/>
            </w:pPr>
            <w:r w:rsidR="001B0513">
              <w:rPr>
                <w:noProof/>
              </w:rPr>
              <w:t>100</w:t>
            </w:r>
          </w:p>
        </w:tc>
        <w:tc>
          <w:tcPr>
            <w:tcW w:type="dxa" w:w="4988"/>
            <w:vAlign w:val="center"/>
          </w:tcPr>
          <w:p w:rsidP="005A1FD4" w:rsidR="00A659C2" w:rsidRDefault="00E32B6D" w:rsidRPr="002A6691">
            <w:pPr>
              <w:spacing w:after="0" w:line="240" w:lineRule="auto"/>
              <w:jc w:val="center"/>
            </w:pPr>
            <w:r w:rsidR="009A6BA9">
              <w:rPr>
                <w:noProof/>
              </w:rPr>
              <w:t>100</w:t>
            </w:r>
          </w:p>
        </w:tc>
      </w:tr>
    </w:tbl>
    <w:p w:rsidP="00A078D4" w:rsidR="00FE725F" w:rsidRDefault="00A078D4" w:rsidRPr="00EF34CA">
      <w:pPr>
        <w:spacing w:after="0" w:line="240" w:lineRule="auto"/>
        <w:jc w:val="center"/>
      </w:pPr>
      <w:r w:rsidRPr="00A078D4">
        <w:rPr>
          <w:noProof/>
        </w:rPr>
        <w:t/>
      </w:r>
    </w:p>
    <w:p w:rsidP="000354C1" w:rsidR="000354C1" w:rsidRDefault="00DC0C1A" w:rsidRPr="00491DF7">
      <w:pPr>
        <w:spacing w:after="0" w:line="240" w:lineRule="auto"/>
      </w:pPr>
      <w:r w:rsidRPr="00500527">
        <w:rPr>
          <w:noProof/>
        </w:rPr>
        <w:t/>
      </w:r>
    </w:p>
    <w:p w:rsidP="000354C1" w:rsidR="000354C1" w:rsidRDefault="000354C1" w:rsidRPr="004D0718">
      <w:pPr>
        <w:spacing w:after="120" w:before="120" w:line="259" w:lineRule="auto"/>
        <w:rPr>
          <w:rFonts w:asciiTheme="minorHAnsi" w:cs="Calibri" w:hAnsiTheme="minorHAnsi"/>
          <w:b/>
          <w:spacing w:val="-10"/>
          <w:lang w:val="en-US"/>
        </w:rPr>
      </w:pPr>
      <w:r w:rsidRPr="000354C1">
        <w:rPr>
          <w:rFonts w:asciiTheme="minorHAnsi" w:cs="Calibri" w:hAnsiTheme="minorHAnsi"/>
          <w:b/>
          <w:spacing w:val="-10"/>
          <w:lang w:val="en-US"/>
        </w:rPr>
        <w:t>All the activities and the Action will achieve 100% of technical progress by their actual end dates</w:t>
      </w:r>
    </w:p>
    <w:p w:rsidR="000809A7" w:rsidRDefault="000354C1" w:rsidRPr="002A6691">
      <w:pPr>
        <w:spacing w:after="0" w:line="240" w:lineRule="auto"/>
        <w:sectPr w:rsidR="000809A7" w:rsidRPr="002A6691" w:rsidSect="000809A7">
          <w:pgSz w:h="11906" w:orient="landscape" w:w="16838"/>
          <w:pgMar w:bottom="1440" w:footer="709" w:gutter="0" w:header="709" w:left="1440" w:right="737" w:top="1440"/>
          <w:cols w:space="708"/>
          <w:docGrid w:linePitch="360"/>
        </w:sectPr>
      </w:pPr>
      <w:r w:rsidRPr="00A078D4">
        <w:rPr>
          <w:noProof/>
        </w:rPr>
        <w:t/>
      </w:r>
      <w:r w:rsidR="00A30AE5" w:rsidRPr="002A6691">
        <w:br w:type="page"/>
      </w:r>
    </w:p>
    <w:p w:rsidR="00A30AE5" w:rsidRDefault="00A30AE5" w:rsidRPr="002A6691">
      <w:pPr>
        <w:spacing w:after="0" w:line="240" w:lineRule="auto"/>
      </w:pPr>
    </w:p>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DA5BB0" w:rsidRPr="00014C3A" w:rsidTr="00A30AE5">
        <w:trPr>
          <w:trHeight w:val="264"/>
          <w:jc w:val="center"/>
        </w:trPr>
        <w:tc>
          <w:tcPr>
            <w:tcW w:type="dxa" w:w="9242"/>
            <w:shd w:color="auto" w:fill="99CCFF" w:val="clear"/>
            <w:tcMar>
              <w:top w:type="dxa" w:w="85"/>
              <w:bottom w:type="dxa" w:w="85"/>
            </w:tcMar>
          </w:tcPr>
          <w:p w:rsidP="0018280C" w:rsidR="00DA5BB0" w:rsidRDefault="00DA5BB0" w:rsidRPr="00E624BC">
            <w:pPr>
              <w:keepNext/>
              <w:spacing w:after="120" w:before="120"/>
              <w:ind w:left="113"/>
              <w:rPr>
                <w:rFonts w:ascii="Verdana" w:hAnsi="Verdana"/>
                <w:b/>
                <w:spacing w:val="-10"/>
              </w:rPr>
            </w:pPr>
            <w:r w:rsidRPr="00E624BC">
              <w:rPr>
                <w:rFonts w:ascii="Verdana" w:hAnsi="Verdana"/>
                <w:b/>
                <w:spacing w:val="-10"/>
              </w:rPr>
              <w:t xml:space="preserve">6.2. </w:t>
            </w:r>
            <w:r w:rsidRPr="00247A24">
              <w:rPr>
                <w:rFonts w:ascii="Verdana" w:hAnsi="Verdana"/>
                <w:b/>
                <w:spacing w:val="-10"/>
                <w:u w:val="single"/>
              </w:rPr>
              <w:t>I</w:t>
            </w:r>
            <w:r w:rsidRPr="001273BA">
              <w:rPr>
                <w:rFonts w:ascii="Verdana" w:hAnsi="Verdana"/>
                <w:b/>
                <w:spacing w:val="-10"/>
                <w:u w:val="single"/>
              </w:rPr>
              <w:t>n the first ASR</w:t>
            </w:r>
            <w:r>
              <w:rPr>
                <w:rFonts w:ascii="Verdana" w:hAnsi="Verdana"/>
                <w:b/>
                <w:spacing w:val="-10"/>
              </w:rPr>
              <w:t xml:space="preserve">, information on governance and monitoring of the Action, such as organizational structure, internal coordination, communication and reporting, and decision making process; </w:t>
            </w:r>
            <w:r w:rsidRPr="001273BA">
              <w:rPr>
                <w:rFonts w:ascii="Verdana" w:hAnsi="Verdana"/>
                <w:b/>
                <w:spacing w:val="-10"/>
                <w:u w:val="single"/>
              </w:rPr>
              <w:t>in subsequent ASR</w:t>
            </w:r>
            <w:r>
              <w:rPr>
                <w:rFonts w:ascii="Verdana" w:hAnsi="Verdana"/>
                <w:b/>
                <w:spacing w:val="-10"/>
              </w:rPr>
              <w:t>, information on any modifications and, if applicable, on the progress of the implementation of the arrangements referred to in previous ASR.</w:t>
            </w:r>
          </w:p>
        </w:tc>
      </w:tr>
      <w:tr w:rsidR="00DA5BB0" w:rsidRPr="00014C3A" w:rsidTr="00A30AE5">
        <w:trPr>
          <w:trHeight w:val="55"/>
          <w:jc w:val="center"/>
        </w:trPr>
        <w:tc>
          <w:tcPr>
            <w:tcW w:type="dxa" w:w="9242"/>
            <w:tcMar>
              <w:top w:type="dxa" w:w="85"/>
              <w:bottom w:type="dxa" w:w="85"/>
            </w:tcMar>
          </w:tcPr>
          <w:p w:rsidP="0061142E" w:rsidR="00DA5BB0" w:rsidRDefault="00EB61FF" w:rsidRPr="00014C3A">
            <w:pPr>
              <w:spacing w:after="120" w:before="120"/>
              <w:ind w:left="113"/>
              <w:rPr>
                <w:rFonts w:ascii="Verdana" w:hAnsi="Verdana"/>
                <w:spacing w:val="-10"/>
              </w:rPr>
            </w:pPr>
            <w:r>
              <w:rPr>
                <w:rFonts w:ascii="Verdana" w:hAnsi="Verdana"/>
                <w:noProof/>
                <w:spacing w:val="-10"/>
              </w:rPr>
              <w:t>Within our organization the Investment Department is liable for the implementation of the Action. The overall management and the decision making process is ensured by the director of the department at the department level and by the general director of Slovak Railways.</w:t>
              <w:br/>
              <w:t xml:space="preserve">Preparation and implementation of projects are carried out through the following sections performing their main activities as follows:</w:t>
              <w:br/>
              <w:t xml:space="preserve">Section of procurement of investments and EU projects</w:t>
              <w:br/>
              <w:t xml:space="preserve">•</w:t>
              <w:tab/>
              <w:t xml:space="preserve">organizing the entire public procurement process  (from the establishment of a working group for the preparation of tender documents till the publication of documents after the conclusion of the contract)</w:t>
              <w:br/>
              <w:t xml:space="preserve">•</w:t>
              <w:tab/>
              <w:t xml:space="preserve">cooperating in ASR preparation</w:t>
              <w:br/>
              <w:t xml:space="preserve"/>
              <w:br/>
              <w:t xml:space="preserve">Section of Proprietary Preparation of Investments</w:t>
              <w:br/>
              <w:t xml:space="preserve">•</w:t>
              <w:tab/>
              <w:t xml:space="preserve">ensuring proprietary and legal settlement for the needs of investment construction, financed from internal resources, capital transfers and EU funds</w:t>
              <w:br/>
              <w:t xml:space="preserve">•</w:t>
              <w:tab/>
              <w:t xml:space="preserve">representing Slovak Railways at expropriation proceedings as well as other proceedings related to proprietary and legal settlement of constructions</w:t>
              <w:br/>
              <w:t xml:space="preserve"/>
              <w:br/>
              <w:t xml:space="preserve">Section of EU Constructions and Projects Preparation</w:t>
              <w:br/>
              <w:t xml:space="preserve">•</w:t>
              <w:tab/>
              <w:t xml:space="preserve">complete management of project preparation constructions financed from internal resources, capital transfer and EU funds in the extent of the methodological procedure for investor activities in Slovak Railways</w:t>
              <w:br/>
              <w:t xml:space="preserve">•</w:t>
              <w:tab/>
              <w:t xml:space="preserve">processing the subjects of procurement procedures for design contractors at all design documentation stages, including requirements for an authorized construction geodesist </w:t>
              <w:br/>
              <w:t xml:space="preserve">•</w:t>
              <w:tab/>
              <w:t xml:space="preserve">preparing requests for conducting national expert inspection, intra-ministerial expert inspection, ministerial expert inspection</w:t>
              <w:br/>
              <w:t xml:space="preserve">•</w:t>
              <w:tab/>
              <w:t xml:space="preserve">preparing notifications of construction start to relevant authorities</w:t>
              <w:br/>
              <w:t xml:space="preserve">•</w:t>
              <w:tab/>
              <w:t xml:space="preserve">preparing requests for issuing approval protocols and expert assessments</w:t>
              <w:br/>
              <w:t xml:space="preserve"/>
              <w:br/>
              <w:t xml:space="preserve">Section of EU programs</w:t>
              <w:br/>
              <w:t xml:space="preserve">•</w:t>
              <w:tab/>
              <w:t xml:space="preserve">managing of and responsibility for meeting CEF implementation conditions</w:t>
              <w:br/>
              <w:t xml:space="preserve">•</w:t>
              <w:tab/>
              <w:t xml:space="preserve">managing technical assistance of the EU programs</w:t>
              <w:br/>
              <w:t xml:space="preserve">•</w:t>
              <w:tab/>
              <w:t xml:space="preserve">organizing and managing the end process management of ŽSR</w:t>
              <w:br/>
              <w:t xml:space="preserve">•</w:t>
              <w:tab/>
              <w:t xml:space="preserve">ensuring relation with state administration and the EC</w:t>
              <w:br/>
              <w:t xml:space="preserve">•</w:t>
              <w:tab/>
              <w:t xml:space="preserve">representing Slovak Railways at meetings with representatives of the EU, EC, MoT SR and other organizations, responsibility for meeting conditions resulting from the Grant Agreement in the extent of activities of the Department, monitoring compliance with conditions, deadlines, deductions</w:t>
              <w:br/>
              <w:t xml:space="preserve"/>
              <w:br/>
              <w:t xml:space="preserve">Section of EU Constructions and Projects Implementation</w:t>
              <w:br/>
              <w:t xml:space="preserve">•</w:t>
              <w:tab/>
              <w:t xml:space="preserve">ensuring the control of compliance of the construction implementation with the approved project documentation, contractual conditions and the other valid legislation and the valid regulations of Slovak Railways, the Slovak Republic and the EC in the area of his scope of operation, preparation of materials in accordance with requirements and internal manuals</w:t>
              <w:br/>
              <w:t xml:space="preserve">•</w:t>
              <w:tab/>
              <w:t xml:space="preserve">control of compliance of the performance of activity of construction supervision with the Contract on Provision of Services</w:t>
              <w:br/>
              <w:t xml:space="preserve">•</w:t>
              <w:tab/>
              <w:t xml:space="preserve">participation in inspection days of the construction, technical inspections, hand-overs and take-overs, monitoring and assessing weekly, monthly and quarterly reports sent by the contractor or the building inspector, preparing documents for lockout activities and a train diagram board</w:t>
              <w:br/>
              <w:t xml:space="preserve"/>
              <w:br/>
              <w:t xml:space="preserve">Section of financial management of EU projects</w:t>
              <w:br/>
              <w:t xml:space="preserve">•</w:t>
              <w:tab/>
              <w:t xml:space="preserve">verification of the contractor´s invoices</w:t>
              <w:br/>
              <w:t xml:space="preserve">•</w:t>
              <w:tab/>
              <w:t xml:space="preserve">management of payments to the contractors</w:t>
              <w:br/>
              <w:t xml:space="preserve">•</w:t>
              <w:tab/>
              <w:t xml:space="preserve">financial reporting (requests for payment, financial statements, supporting financial documents, etc.)</w:t>
              <w:br/>
              <w:t xml:space="preserve">•</w:t>
              <w:tab/>
              <w:t xml:space="preserve">preparation of financial plans</w:t>
              <w:br/>
              <w:t xml:space="preserve">•</w:t>
              <w:tab/>
              <w:t xml:space="preserve">monitoring of financial progress</w:t>
              <w:br/>
              <w:t xml:space="preserve">•</w:t>
              <w:tab/>
              <w:t xml:space="preserve">participation in meetings related to project implementation</w:t>
              <w:br/>
              <w:t xml:space="preserve">•</w:t>
              <w:tab/>
              <w:t xml:space="preserve">cooperation on ASR preparation</w:t>
              <w:br/>
              <w:t xml:space="preserve"/>
              <w:br/>
              <w:t xml:space="preserve">The given sections are being involved in communication process on regular daily basis including weekly meetings of the director and the heads of the sections.</w:t>
              <w:br/>
              <w:t xml:space="preserve"/>
            </w:r>
          </w:p>
        </w:tc>
      </w:tr>
    </w:tbl>
    <w:p w:rsidR="00DA5BB0" w:rsidRDefault="00DA5BB0"/>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DA5BB0" w:rsidRPr="00014C3A" w:rsidTr="0018280C">
        <w:trPr>
          <w:trHeight w:val="264"/>
          <w:jc w:val="center"/>
        </w:trPr>
        <w:tc>
          <w:tcPr>
            <w:tcW w:type="dxa" w:w="9594"/>
            <w:shd w:color="auto" w:fill="99CCFF" w:val="clear"/>
            <w:tcMar>
              <w:top w:type="dxa" w:w="85"/>
              <w:bottom w:type="dxa" w:w="85"/>
            </w:tcMar>
          </w:tcPr>
          <w:p w:rsidP="0018280C" w:rsidR="00DA5BB0" w:rsidRDefault="00DA5BB0" w:rsidRPr="00E624BC">
            <w:pPr>
              <w:keepNext/>
              <w:spacing w:after="120" w:before="120"/>
              <w:ind w:left="113"/>
              <w:rPr>
                <w:rFonts w:ascii="Verdana" w:hAnsi="Verdana"/>
                <w:b/>
                <w:spacing w:val="-10"/>
              </w:rPr>
            </w:pPr>
            <w:r>
              <w:rPr>
                <w:rFonts w:ascii="Verdana" w:hAnsi="Verdana"/>
                <w:b/>
                <w:spacing w:val="-10"/>
              </w:rPr>
              <w:t>6.3</w:t>
            </w:r>
            <w:r w:rsidRPr="00E624BC">
              <w:rPr>
                <w:rFonts w:ascii="Verdana" w:hAnsi="Verdana"/>
                <w:b/>
                <w:spacing w:val="-10"/>
              </w:rPr>
              <w:t xml:space="preserve">. </w:t>
            </w:r>
            <w:r>
              <w:rPr>
                <w:rFonts w:ascii="Verdana" w:hAnsi="Verdana"/>
                <w:b/>
                <w:spacing w:val="-10"/>
                <w:u w:val="single"/>
              </w:rPr>
              <w:t>I</w:t>
            </w:r>
            <w:r w:rsidRPr="001273BA">
              <w:rPr>
                <w:rFonts w:ascii="Verdana" w:hAnsi="Verdana"/>
                <w:b/>
                <w:spacing w:val="-10"/>
                <w:u w:val="single"/>
              </w:rPr>
              <w:t>n the first ASR</w:t>
            </w:r>
            <w:r>
              <w:rPr>
                <w:rFonts w:ascii="Verdana" w:hAnsi="Verdana"/>
                <w:b/>
                <w:spacing w:val="-10"/>
              </w:rPr>
              <w:t xml:space="preserve">, information on other relevant administrative provisions, such as quality controls and audits; </w:t>
            </w:r>
            <w:r w:rsidRPr="001273BA">
              <w:rPr>
                <w:rFonts w:ascii="Verdana" w:hAnsi="Verdana"/>
                <w:b/>
                <w:spacing w:val="-10"/>
                <w:u w:val="single"/>
              </w:rPr>
              <w:t>in subsequent ASR</w:t>
            </w:r>
            <w:r>
              <w:rPr>
                <w:rFonts w:ascii="Verdana" w:hAnsi="Verdana"/>
                <w:b/>
                <w:spacing w:val="-10"/>
              </w:rPr>
              <w:t>, information on any modifications and, if applicable, on the progress of the implementation of the arrangements referred to in previous ASR.</w:t>
            </w:r>
          </w:p>
        </w:tc>
      </w:tr>
      <w:tr w:rsidR="00DA5BB0" w:rsidRPr="00014C3A" w:rsidTr="0018280C">
        <w:trPr>
          <w:trHeight w:val="55"/>
          <w:jc w:val="center"/>
        </w:trPr>
        <w:tc>
          <w:tcPr>
            <w:tcW w:type="dxa" w:w="9594"/>
            <w:tcMar>
              <w:top w:type="dxa" w:w="85"/>
              <w:bottom w:type="dxa" w:w="85"/>
            </w:tcMar>
          </w:tcPr>
          <w:p w:rsidP="0061142E" w:rsidR="00DA5BB0" w:rsidRDefault="00EB61FF" w:rsidRPr="00014C3A">
            <w:pPr>
              <w:spacing w:after="120" w:before="120"/>
              <w:ind w:left="113"/>
              <w:rPr>
                <w:rFonts w:ascii="Verdana" w:hAnsi="Verdana"/>
                <w:spacing w:val="-10"/>
              </w:rPr>
            </w:pPr>
            <w:r>
              <w:rPr>
                <w:rFonts w:ascii="Verdana" w:hAnsi="Verdana"/>
                <w:noProof/>
                <w:spacing w:val="-10"/>
              </w:rPr>
              <w:t>The nature of construction works or a wide spectrum of expert activities with various focus (truck structure and railway bed, electrical power engineering, notifying and securing technology, telecommunication, etc.) requires cooperation of all interested parties of the relevant Departments of Directorate General of Slovak Railways.</w:t>
              <w:br/>
              <w:t xml:space="preserve"/>
              <w:br/>
              <w:t xml:space="preserve">Communication is carried out in the form of official correspondence, working meetings at the level of construction management (the Contractor, during the control days organized at three-week intervals), as well as at the level of Directorate General of Slovak Railways during operative working meetings. Except for the control days, the production meetings with the Contractor are held weekly.</w:t>
              <w:br/>
              <w:t xml:space="preserve"/>
              <w:br/>
              <w:t xml:space="preserve">The construction works progress is recorded in weekly reports by the Contractor. The Contractor also submits the summary of data on the construction works progress in monthly reports. The reports evaluate the construction progress from the perspective of time and material fulfilment, current problems and possible risks that appeared during implementation. The construction supervision submits the Interim Supervision Report to Slovak Railways once per three months (on a quarterly basis). The report includes data on works progress, fulfilment of time schedule or time compliance/non-compliance, summary of invoicing data, SWOT analysis, etc. Upon completion of the construction works, the construction supervision issues Taking Over Certificates and submits a Supervision Final Report.</w:t>
              <w:br/>
              <w:t xml:space="preserve"/>
            </w:r>
          </w:p>
        </w:tc>
      </w:tr>
    </w:tbl>
    <w:p w:rsidP="00034E46" w:rsidR="00DA5BB0" w:rsidRDefault="00DA5BB0" w:rsidRPr="00034E46">
      <w:pPr>
        <w:spacing w:after="120" w:before="120"/>
        <w:ind w:left="113"/>
        <w:rPr>
          <w:rFonts w:ascii="Verdana" w:hAnsi="Verdana"/>
        </w:rPr>
      </w:pPr>
      <w:r w:rsidRPr="00AE7828">
        <w:rPr>
          <w:rFonts w:ascii="Verdana" w:hAnsi="Verdana"/>
        </w:rPr>
        <w:t>ANNEX: Financial information (GA II.23.1.1.d</w:t>
      </w:r>
      <w:r>
        <w:rPr>
          <w:rFonts w:ascii="Verdana" w:hAnsi="Verdana"/>
        </w:rPr>
        <w:t xml:space="preserve"> to </w:t>
      </w:r>
      <w:r w:rsidRPr="00AE7828">
        <w:rPr>
          <w:rFonts w:ascii="Verdana" w:hAnsi="Verdana"/>
        </w:rPr>
        <w:t xml:space="preserve">f or </w:t>
      </w:r>
      <w:r>
        <w:rPr>
          <w:rFonts w:ascii="Verdana" w:hAnsi="Verdana"/>
        </w:rPr>
        <w:t xml:space="preserve">SESAR FPA </w:t>
      </w:r>
      <w:r w:rsidRPr="00AE7828">
        <w:rPr>
          <w:rFonts w:ascii="Verdana" w:hAnsi="Verdana"/>
        </w:rPr>
        <w:t>II.23.1b.d to f)</w:t>
      </w:r>
      <w:r w:rsidRPr="00AE7828">
        <w:rPr>
          <w:rFonts w:ascii="Verdana" w:hAnsi="Verdana"/>
          <w:spacing w:val="-10"/>
          <w:highlight w:val="yellow"/>
        </w:rPr>
        <w:br w:type="page"/>
      </w:r>
    </w:p>
    <w:p w:rsidR="00DA5BB0" w:rsidRDefault="00DA5BB0"/>
    <w:tbl>
      <w:tblPr>
        <w:tblW w:type="pct" w:w="5000"/>
        <w:jc w:val="center"/>
        <w:tblLook w:firstColumn="1" w:firstRow="1" w:lastColumn="0" w:lastRow="0" w:noHBand="0" w:noVBand="1" w:val="04A0"/>
      </w:tblPr>
      <w:tblGrid>
        <w:gridCol w:w="2412"/>
        <w:gridCol w:w="6830"/>
      </w:tblGrid>
      <w:tr w:rsidR="00034E46" w:rsidRPr="006405BD" w:rsidTr="0018280C">
        <w:trPr>
          <w:trHeight w:val="1320"/>
          <w:jc w:val="center"/>
        </w:trPr>
        <w:tc>
          <w:tcPr>
            <w:tcW w:type="dxa" w:w="9594"/>
            <w:gridSpan w:val="2"/>
            <w:vMerge w:val="restart"/>
            <w:tcBorders>
              <w:top w:color="auto" w:space="0" w:sz="8" w:val="single"/>
              <w:left w:color="auto" w:space="0" w:sz="8" w:val="single"/>
              <w:bottom w:color="000000" w:space="0" w:sz="8" w:val="single"/>
              <w:right w:color="000000" w:space="0" w:sz="8" w:val="single"/>
            </w:tcBorders>
            <w:shd w:color="000000" w:fill="99CCFF" w:val="clear"/>
            <w:vAlign w:val="center"/>
            <w:hideMark/>
          </w:tcPr>
          <w:p w:rsidP="00887EE8" w:rsidR="00034E46" w:rsidRDefault="00034E46" w:rsidRPr="002B0D3F">
            <w:pPr>
              <w:spacing w:after="0" w:line="240" w:lineRule="auto"/>
              <w:jc w:val="center"/>
              <w:rPr>
                <w:rFonts w:ascii="Verdana" w:cs="Arial" w:eastAsia="Times New Roman" w:hAnsi="Verdana"/>
                <w:b/>
                <w:bCs/>
                <w:sz w:val="24"/>
                <w:szCs w:val="24"/>
                <w:lang w:eastAsia="en-GB"/>
              </w:rPr>
            </w:pPr>
            <w:bookmarkStart w:id="1" w:name="RANGE!B3"/>
            <w:r w:rsidRPr="002B0D3F">
              <w:rPr>
                <w:rFonts w:ascii="Verdana" w:cs="Arial" w:eastAsia="Times New Roman" w:hAnsi="Verdana"/>
                <w:b/>
                <w:bCs/>
                <w:sz w:val="24"/>
                <w:szCs w:val="24"/>
                <w:lang w:eastAsia="en-GB"/>
              </w:rPr>
              <w:t>CERTIFICATION OF THE MEMBER STATE</w:t>
            </w:r>
            <w:r w:rsidRPr="00DA58BF">
              <w:rPr>
                <w:rFonts w:ascii="Verdana" w:cs="Arial" w:eastAsia="Times New Roman" w:hAnsi="Verdana"/>
                <w:b/>
                <w:bCs/>
                <w:sz w:val="24"/>
                <w:szCs w:val="24"/>
                <w:vertAlign w:val="superscript"/>
                <w:lang w:eastAsia="en-GB"/>
              </w:rPr>
              <w:t>*</w:t>
            </w:r>
          </w:p>
          <w:p w:rsidP="00887EE8" w:rsidR="00034E46" w:rsidRDefault="00034E46" w:rsidRPr="002B0D3F">
            <w:pPr>
              <w:spacing w:after="0" w:line="240" w:lineRule="auto"/>
              <w:jc w:val="center"/>
              <w:rPr>
                <w:rFonts w:ascii="Verdana" w:cs="Arial" w:eastAsia="Times New Roman" w:hAnsi="Verdana"/>
                <w:b/>
                <w:bCs/>
                <w:sz w:val="24"/>
                <w:szCs w:val="24"/>
                <w:lang w:eastAsia="en-GB"/>
              </w:rPr>
            </w:pPr>
            <w:r w:rsidRPr="002B0D3F">
              <w:rPr>
                <w:rFonts w:ascii="Verdana" w:cs="Arial" w:eastAsia="Times New Roman" w:hAnsi="Verdana"/>
                <w:sz w:val="24"/>
                <w:szCs w:val="24"/>
                <w:lang w:eastAsia="en-GB"/>
              </w:rPr>
              <w:t>(applicable only for ASR and for beneficiaries established in the European Union)</w:t>
            </w:r>
            <w:bookmarkEnd w:id="1"/>
          </w:p>
        </w:tc>
      </w:tr>
      <w:tr w:rsidR="00034E46" w:rsidRPr="006405BD" w:rsidTr="0018280C">
        <w:trPr>
          <w:trHeight w:val="389"/>
          <w:jc w:val="center"/>
        </w:trPr>
        <w:tc>
          <w:tcPr>
            <w:tcW w:type="dxa" w:w="9594"/>
            <w:gridSpan w:val="2"/>
            <w:vMerge/>
            <w:tcBorders>
              <w:top w:color="auto" w:space="0" w:sz="8" w:val="single"/>
              <w:left w:color="auto" w:space="0" w:sz="8" w:val="single"/>
              <w:bottom w:color="000000" w:space="0" w:sz="8" w:val="single"/>
              <w:right w:color="000000" w:space="0" w:sz="8" w:val="single"/>
            </w:tcBorders>
            <w:vAlign w:val="center"/>
            <w:hideMark/>
          </w:tcPr>
          <w:p w:rsidP="00887EE8" w:rsidR="00034E46" w:rsidRDefault="00034E46" w:rsidRPr="002B0D3F">
            <w:pPr>
              <w:spacing w:after="0" w:line="240" w:lineRule="auto"/>
              <w:rPr>
                <w:rFonts w:ascii="Verdana" w:cs="Arial" w:eastAsia="Times New Roman" w:hAnsi="Verdana"/>
                <w:b/>
                <w:bCs/>
                <w:sz w:val="24"/>
                <w:szCs w:val="24"/>
                <w:lang w:eastAsia="en-GB"/>
              </w:rPr>
            </w:pPr>
          </w:p>
        </w:tc>
      </w:tr>
      <w:tr w:rsidR="00034E46" w:rsidRPr="006405BD" w:rsidTr="0018280C">
        <w:trPr>
          <w:trHeight w:val="3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Name</w:t>
            </w:r>
          </w:p>
        </w:tc>
        <w:tc>
          <w:tcPr>
            <w:tcW w:type="dxa" w:w="7094"/>
            <w:tcBorders>
              <w:top w:color="auto" w:space="0" w:sz="8" w:val="single"/>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3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Position</w:t>
            </w:r>
          </w:p>
        </w:tc>
        <w:tc>
          <w:tcPr>
            <w:tcW w:type="dxa" w:w="7094"/>
            <w:tcBorders>
              <w:top w:val="nil"/>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6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Pr>
                <w:rFonts w:ascii="Verdana" w:cs="Arial" w:eastAsia="Times New Roman" w:hAnsi="Verdana"/>
                <w:sz w:val="24"/>
                <w:szCs w:val="24"/>
                <w:lang w:eastAsia="en-GB"/>
              </w:rPr>
              <w:t>Entity</w:t>
            </w:r>
          </w:p>
        </w:tc>
        <w:tc>
          <w:tcPr>
            <w:tcW w:type="dxa" w:w="7094"/>
            <w:tcBorders>
              <w:top w:val="nil"/>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3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Telephone Nº</w:t>
            </w:r>
          </w:p>
        </w:tc>
        <w:tc>
          <w:tcPr>
            <w:tcW w:type="dxa" w:w="7094"/>
            <w:tcBorders>
              <w:top w:val="nil"/>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310"/>
          <w:jc w:val="center"/>
        </w:trPr>
        <w:tc>
          <w:tcPr>
            <w:tcW w:type="dxa" w:w="2500"/>
            <w:tcBorders>
              <w:top w:val="nil"/>
              <w:left w:color="auto" w:space="0" w:sz="8" w:val="single"/>
              <w:bottom w:color="auto" w:space="0" w:sz="8"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E-mail</w:t>
            </w:r>
          </w:p>
        </w:tc>
        <w:tc>
          <w:tcPr>
            <w:tcW w:type="dxa" w:w="7094"/>
            <w:tcBorders>
              <w:top w:val="nil"/>
              <w:left w:val="nil"/>
              <w:bottom w:color="auto" w:space="0" w:sz="8"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585"/>
          <w:jc w:val="center"/>
        </w:trPr>
        <w:tc>
          <w:tcPr>
            <w:tcW w:type="dxa" w:w="9594"/>
            <w:gridSpan w:val="2"/>
            <w:tcBorders>
              <w:top w:color="auto" w:space="0" w:sz="8" w:val="single"/>
              <w:left w:color="auto" w:space="0" w:sz="8" w:val="single"/>
              <w:bottom w:val="nil"/>
              <w:right w:color="000000" w:space="0" w:sz="8" w:val="single"/>
            </w:tcBorders>
            <w:shd w:color="000000" w:fill="FFFF99" w:val="clear"/>
            <w:noWrap/>
            <w:vAlign w:val="center"/>
            <w:hideMark/>
          </w:tcPr>
          <w:p w:rsidP="00887EE8" w:rsidR="00034E46" w:rsidRDefault="00034E46">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In compliance with Article II.23.1</w:t>
            </w:r>
            <w:r>
              <w:rPr>
                <w:rFonts w:ascii="Verdana" w:cs="Arial" w:eastAsia="Times New Roman" w:hAnsi="Verdana"/>
                <w:sz w:val="24"/>
                <w:szCs w:val="24"/>
                <w:lang w:eastAsia="en-GB"/>
              </w:rPr>
              <w:t xml:space="preserve"> (</w:t>
            </w:r>
            <w:r w:rsidRPr="00AE7828">
              <w:rPr>
                <w:rFonts w:ascii="Verdana" w:cs="Arial" w:eastAsia="Times New Roman" w:hAnsi="Verdana"/>
                <w:sz w:val="24"/>
                <w:szCs w:val="24"/>
                <w:lang w:eastAsia="en-GB"/>
              </w:rPr>
              <w:t xml:space="preserve">or </w:t>
            </w:r>
            <w:r>
              <w:rPr>
                <w:rFonts w:ascii="Verdana" w:cs="Arial" w:eastAsia="Times New Roman" w:hAnsi="Verdana"/>
                <w:sz w:val="24"/>
                <w:szCs w:val="24"/>
                <w:lang w:eastAsia="en-GB"/>
              </w:rPr>
              <w:t xml:space="preserve">SESAR FPA </w:t>
            </w:r>
            <w:r w:rsidRPr="00AE7828">
              <w:rPr>
                <w:rFonts w:ascii="Verdana" w:cs="Arial" w:eastAsia="Times New Roman" w:hAnsi="Verdana"/>
                <w:sz w:val="24"/>
                <w:szCs w:val="24"/>
                <w:lang w:eastAsia="en-GB"/>
              </w:rPr>
              <w:t>II.23.1b)</w:t>
            </w:r>
            <w:r w:rsidRPr="006405BD">
              <w:rPr>
                <w:rFonts w:ascii="Verdana" w:cs="Arial" w:eastAsia="Times New Roman" w:hAnsi="Verdana"/>
                <w:sz w:val="24"/>
                <w:szCs w:val="24"/>
                <w:lang w:eastAsia="en-GB"/>
              </w:rPr>
              <w:t xml:space="preserve"> of the GA, it is certified that the information provided </w:t>
            </w:r>
            <w:r>
              <w:rPr>
                <w:rFonts w:ascii="Verdana" w:cs="Arial" w:eastAsia="Times New Roman" w:hAnsi="Verdana"/>
                <w:sz w:val="24"/>
                <w:szCs w:val="24"/>
                <w:lang w:eastAsia="en-GB"/>
              </w:rPr>
              <w:t xml:space="preserve">by the following Beneficiary(ies) </w:t>
            </w:r>
            <w:r w:rsidRPr="006405BD">
              <w:rPr>
                <w:rFonts w:ascii="Verdana" w:cs="Arial" w:eastAsia="Times New Roman" w:hAnsi="Verdana"/>
                <w:sz w:val="24"/>
                <w:szCs w:val="24"/>
                <w:lang w:eastAsia="en-GB"/>
              </w:rPr>
              <w:t>in the ASR is full, reliable and true.</w:t>
            </w:r>
          </w:p>
          <w:p w:rsidP="00E37589" w:rsidR="006F3248" w:rsidRDefault="009B50DB" w:rsidRPr="00E37589">
            <w:pPr>
              <w:spacing w:after="0" w:line="240" w:lineRule="auto"/>
              <w:rPr>
                <w:rFonts w:ascii="Verdana" w:cs="Arial" w:eastAsia="Times New Roman" w:hAnsi="Verdana"/>
                <w:sz w:val="24"/>
                <w:szCs w:val="24"/>
                <w:lang w:eastAsia="en-GB"/>
              </w:rPr>
            </w:pPr>
            <w:r>
              <w:rPr>
                <w:rFonts w:ascii="Verdana" w:cs="Arial" w:eastAsia="Times New Roman" w:hAnsi="Verdana"/>
                <w:noProof/>
                <w:sz w:val="24"/>
                <w:szCs w:val="24"/>
                <w:lang w:eastAsia="en-GB"/>
              </w:rPr>
              <w:t/>
            </w:r>
          </w:p>
          <w:p w:rsidP="00C11AF2" w:rsidR="00034E46" w:rsidRDefault="006F3248" w:rsidRPr="00B21FD8">
            <w:pPr>
              <w:pStyle w:val="ListParagraph"/>
              <w:numPr>
                <w:ilvl w:val="0"/>
                <w:numId w:val="4"/>
              </w:numPr>
              <w:ind w:hanging="357" w:left="714"/>
              <w:contextualSpacing w:val="0"/>
              <w:rPr>
                <w:rFonts w:ascii="Verdana" w:cs="Times New Roman" w:hAnsi="Verdana"/>
                <w:bCs/>
                <w:sz w:val="20"/>
              </w:rPr>
            </w:pPr>
            <w:r w:rsidRPr="006F3248">
              <w:rPr>
                <w:rFonts w:ascii="Verdana" w:hAnsi="Verdana"/>
                <w:bCs/>
                <w:noProof/>
                <w:sz w:val="20"/>
              </w:rPr>
              <w:t>Železnice Slovenskej republiky</w:t>
            </w:r>
            <w:r w:rsidR="00B21FD8" w:rsidRPr="006F3248">
              <w:rPr>
                <w:rFonts w:ascii="Verdana" w:cs="Times New Roman" w:hAnsi="Verdana"/>
                <w:bCs/>
                <w:sz w:val="20"/>
              </w:rPr>
              <w:t/>
            </w:r>
          </w:p>
        </w:tc>
      </w:tr>
      <w:tr w:rsidR="00034E46" w:rsidRPr="006405BD" w:rsidTr="0018280C">
        <w:trPr>
          <w:trHeight w:val="525"/>
          <w:jc w:val="center"/>
        </w:trPr>
        <w:tc>
          <w:tcPr>
            <w:tcW w:type="dxa" w:w="9594"/>
            <w:gridSpan w:val="2"/>
            <w:vMerge w:val="restart"/>
            <w:tcBorders>
              <w:top w:val="nil"/>
              <w:left w:color="auto" w:space="0" w:sz="8" w:val="single"/>
              <w:bottom w:val="nil"/>
              <w:right w:color="000000" w:space="0" w:sz="8" w:val="single"/>
            </w:tcBorders>
            <w:shd w:color="000000" w:fill="FFFF99" w:val="clear"/>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9594"/>
            <w:gridSpan w:val="2"/>
            <w:vMerge/>
            <w:tcBorders>
              <w:top w:val="nil"/>
              <w:left w:color="auto" w:space="0" w:sz="8" w:val="single"/>
              <w:bottom w:val="nil"/>
              <w:right w:color="000000"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300"/>
          <w:jc w:val="center"/>
        </w:trPr>
        <w:tc>
          <w:tcPr>
            <w:tcW w:type="dxa" w:w="2500"/>
            <w:tcBorders>
              <w:top w:color="auto" w:space="0" w:sz="18" w:val="single"/>
              <w:left w:color="auto" w:space="0" w:sz="8" w:val="single"/>
              <w:bottom w:val="nil"/>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Date and signature</w:t>
            </w:r>
          </w:p>
        </w:tc>
        <w:tc>
          <w:tcPr>
            <w:tcW w:type="dxa" w:w="7094"/>
            <w:vMerge w:val="restart"/>
            <w:tcBorders>
              <w:top w:color="auto" w:space="0" w:sz="8" w:val="single"/>
              <w:left w:color="auto" w:space="0" w:sz="8" w:val="single"/>
              <w:bottom w:color="000000" w:space="0" w:sz="8" w:val="single"/>
              <w:right w:color="000000" w:space="0" w:sz="8" w:val="single"/>
            </w:tcBorders>
            <w:shd w:color="auto" w:fill="auto" w:val="clear"/>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r w:rsidRPr="00373E25">
              <w:rPr>
                <w:rFonts w:ascii="Verdana" w:cs="Arial" w:eastAsia="Times New Roman" w:hAnsi="Verdana"/>
                <w:sz w:val="24"/>
                <w:szCs w:val="24"/>
                <w:lang w:eastAsia="en-GB"/>
              </w:rPr>
              <w:t>     </w:t>
            </w:r>
          </w:p>
        </w:tc>
      </w:tr>
      <w:tr w:rsidR="00034E46" w:rsidRPr="006405BD" w:rsidTr="0018280C">
        <w:trPr>
          <w:trHeight w:val="300"/>
          <w:jc w:val="center"/>
        </w:trPr>
        <w:tc>
          <w:tcPr>
            <w:tcW w:type="dxa" w:w="2500"/>
            <w:tcBorders>
              <w:top w:val="nil"/>
              <w:left w:color="auto" w:space="0" w:sz="8" w:val="single"/>
              <w:bottom w:val="nil"/>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bookmarkStart w:id="2" w:name="RANGE!B4"/>
            <w:bookmarkStart w:id="3" w:name="RANGE!B19"/>
            <w:bookmarkEnd w:id="2"/>
            <w:r w:rsidRPr="006405BD">
              <w:rPr>
                <w:rFonts w:ascii="Verdana" w:cs="Arial" w:eastAsia="Times New Roman" w:hAnsi="Verdana"/>
                <w:sz w:val="24"/>
                <w:szCs w:val="24"/>
                <w:lang w:eastAsia="en-GB"/>
              </w:rPr>
              <w:t> </w:t>
            </w:r>
            <w:bookmarkEnd w:id="3"/>
          </w:p>
        </w:tc>
        <w:tc>
          <w:tcPr>
            <w:tcW w:type="dxa" w:w="7094"/>
            <w:vMerge/>
            <w:tcBorders>
              <w:top w:val="nil"/>
              <w:left w:color="auto" w:space="0" w:sz="8" w:val="single"/>
              <w:bottom w:val="nil"/>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300"/>
          <w:jc w:val="center"/>
        </w:trPr>
        <w:tc>
          <w:tcPr>
            <w:tcW w:type="dxa" w:w="2500"/>
            <w:tcBorders>
              <w:top w:val="nil"/>
              <w:left w:color="auto" w:space="0" w:sz="8" w:val="single"/>
              <w:bottom w:val="nil"/>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 </w:t>
            </w:r>
          </w:p>
        </w:tc>
        <w:tc>
          <w:tcPr>
            <w:tcW w:type="dxa" w:w="7094"/>
            <w:vMerge/>
            <w:tcBorders>
              <w:top w:val="nil"/>
              <w:left w:color="auto" w:space="0" w:sz="8" w:val="single"/>
              <w:bottom w:val="nil"/>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310"/>
          <w:jc w:val="center"/>
        </w:trPr>
        <w:tc>
          <w:tcPr>
            <w:tcW w:type="dxa" w:w="2500"/>
            <w:tcBorders>
              <w:top w:val="nil"/>
              <w:left w:color="auto" w:space="0" w:sz="8" w:val="single"/>
              <w:bottom w:color="auto" w:space="0" w:sz="8"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 xml:space="preserve"> </w:t>
            </w:r>
          </w:p>
        </w:tc>
        <w:tc>
          <w:tcPr>
            <w:tcW w:type="dxa" w:w="7094"/>
            <w:vMerge/>
            <w:tcBorders>
              <w:top w:val="nil"/>
              <w:left w:color="auto" w:space="0" w:sz="8" w:val="single"/>
              <w:bottom w:color="auto"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val="restart"/>
            <w:tcBorders>
              <w:top w:val="nil"/>
              <w:left w:color="auto" w:space="0" w:sz="8" w:val="single"/>
              <w:bottom w:color="000000" w:space="0" w:sz="8"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Stamp (optional)</w:t>
            </w: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bl>
    <w:p w:rsidP="00034E46" w:rsidR="00034E46" w:rsidRDefault="00034E46" w:rsidRPr="00DA58BF">
      <w:pPr>
        <w:spacing w:after="120" w:before="120"/>
        <w:ind w:left="113"/>
        <w:rPr>
          <w:rFonts w:ascii="Verdana" w:hAnsi="Verdana"/>
        </w:rPr>
      </w:pPr>
      <w:r w:rsidRPr="00DA58BF">
        <w:rPr>
          <w:rFonts w:ascii="Verdana" w:hAnsi="Verdana"/>
        </w:rPr>
        <w:t xml:space="preserve">* In line with the terms of Art. </w:t>
      </w:r>
      <w:r>
        <w:rPr>
          <w:rFonts w:ascii="Verdana" w:hAnsi="Verdana"/>
        </w:rPr>
        <w:t>22 of the CEF Regulation</w:t>
      </w:r>
    </w:p>
    <w:p w:rsidR="0088073E" w:rsidRDefault="0088073E"/>
    <w:p w:rsidR="00AB36AE" w:rsidRDefault="00AB36AE"/>
    <w:sectPr w:rsidR="00AB36AE" w:rsidSect="00876A81">
      <w:pgSz w:h="16838" w:w="11906"/>
      <w:pgMar w:bottom="1440" w:footer="709" w:gutter="0" w:header="709" w:left="1440" w:right="1440" w:top="73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B6D" w:rsidRDefault="00E32B6D" w:rsidP="00D51F72">
      <w:pPr>
        <w:spacing w:after="0" w:line="240" w:lineRule="auto"/>
      </w:pPr>
      <w:r>
        <w:separator/>
      </w:r>
    </w:p>
  </w:endnote>
  <w:endnote w:type="continuationSeparator" w:id="0">
    <w:p w:rsidR="00E32B6D" w:rsidRDefault="00E32B6D" w:rsidP="00D51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id w:val="38025320"/>
      <w:docPartObj>
        <w:docPartGallery w:val="Page Numbers (Bottom of Page)"/>
        <w:docPartUnique/>
      </w:docPartObj>
    </w:sdtPr>
    <w:sdtEndPr>
      <w:rPr>
        <w:noProof/>
      </w:rPr>
    </w:sdtEndPr>
    <w:sdtContent>
      <w:p w:rsidP="00946550" w:rsidR="00B96929" w:rsidRDefault="00E035B3">
        <w:pPr>
          <w:pStyle w:val="Footer"/>
          <w:rPr>
            <w:noProof/>
          </w:rPr>
        </w:pPr>
        <w:r w:rsidR="00946550">
          <w:rPr>
            <w:noProof/>
          </w:rPr>
          <w:t>2016-SK-TMC-0218-W_ASR2024_1_20240327_1016</w:t>
        </w:r>
        <w:r w:rsidR="00946550">
          <w:ptab w:alignment="right" w:leader="none" w:relativeTo="margin"/>
        </w:r>
        <w:r w:rsidR="00B96929">
          <w:fldChar w:fldCharType="begin"/>
        </w:r>
        <w:r w:rsidR="00B96929">
          <w:instrText xml:space="preserve"> PAGE   \* MERGEFORMAT </w:instrText>
        </w:r>
        <w:r w:rsidR="00B96929">
          <w:fldChar w:fldCharType="separate"/>
        </w:r>
        <w:r w:rsidR="00251DEF">
          <w:rPr>
            <w:noProof/>
          </w:rPr>
          <w:t>5</w:t>
        </w:r>
        <w:r w:rsidR="00B96929">
          <w:rPr>
            <w:noProof/>
          </w:rPr>
          <w:fldChar w:fldCharType="end"/>
        </w:r>
      </w:p>
      <w:p w:rsidP="00B96929" w:rsidR="00D51F72" w:rsidRDefault="00E32B6D">
        <w:pPr>
          <w:pStyle w:val="Footer"/>
          <w:jc w:val="right"/>
          <w:rPr>
            <w:noProof/>
          </w:rPr>
        </w:pPr>
      </w:p>
    </w:sdtContent>
  </w:sdt>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D51F72" w:rsidR="00E32B6D" w:rsidRDefault="00E32B6D">
      <w:pPr>
        <w:spacing w:after="0" w:line="240" w:lineRule="auto"/>
      </w:pPr>
      <w:r>
        <w:separator/>
      </w:r>
    </w:p>
  </w:footnote>
  <w:footnote w:id="0" w:type="continuationSeparator">
    <w:p w:rsidP="00D51F72" w:rsidR="00E32B6D" w:rsidRDefault="00E32B6D">
      <w:pPr>
        <w:spacing w:after="0" w:line="240" w:lineRule="auto"/>
      </w:pPr>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7C468B" w:rsidR="00D51F72" w:rsidRDefault="007C468B">
    <w:pPr>
      <w:spacing w:after="0" w:line="240" w:lineRule="auto"/>
      <w:jc w:val="right"/>
    </w:pPr>
    <w:r w:rsidRPr="00DB078F">
      <w:rPr>
        <w:i/>
      </w:rPr>
      <w:t xml:space="preserve">Reporting period: </w:t>
    </w:r>
    <w:r w:rsidR="00DC7DF8">
      <w:rPr>
        <w:i/>
        <w:noProof/>
      </w:rPr>
      <w:t>1 January 2023 - 31 December 2023</w: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42FC0FBB"/>
    <w:multiLevelType w:val="hybridMultilevel"/>
    <w:tmpl w:val="541E9C7A"/>
    <w:lvl w:ilvl="0" w:tplc="E6EA5A96">
      <w:start w:val="1"/>
      <w:numFmt w:val="bullet"/>
      <w:lvlText w:val="£"/>
      <w:lvlJc w:val="left"/>
      <w:pPr>
        <w:ind w:hanging="360" w:left="720"/>
      </w:pPr>
      <w:rPr>
        <w:rFonts w:ascii="Wingdings 2" w:hAnsi="Wingdings 2" w:hint="default"/>
      </w:rPr>
    </w:lvl>
    <w:lvl w:ilvl="1" w:tentative="1" w:tplc="08090003">
      <w:start w:val="1"/>
      <w:numFmt w:val="bullet"/>
      <w:lvlText w:val="o"/>
      <w:lvlJc w:val="left"/>
      <w:pPr>
        <w:ind w:hanging="360" w:left="1440"/>
      </w:pPr>
      <w:rPr>
        <w:rFonts w:ascii="Courier New" w:cs="Courier New" w:hAnsi="Courier New" w:hint="default"/>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
    <w:nsid w:val="700F4B24"/>
    <w:multiLevelType w:val="hybridMultilevel"/>
    <w:tmpl w:val="8E0A96DE"/>
    <w:lvl w:ilvl="0" w:tplc="542694EE">
      <w:start w:val="1"/>
      <w:numFmt w:val="lowerLetter"/>
      <w:lvlText w:val="%1)"/>
      <w:lvlJc w:val="left"/>
      <w:pPr>
        <w:ind w:hanging="360" w:left="360"/>
      </w:pPr>
      <w:rPr>
        <w:b/>
        <w:i w:val="0"/>
      </w:rPr>
    </w:lvl>
    <w:lvl w:ilvl="1" w:tentative="1" w:tplc="08090019">
      <w:start w:val="1"/>
      <w:numFmt w:val="lowerLetter"/>
      <w:lvlText w:val="%2."/>
      <w:lvlJc w:val="left"/>
      <w:pPr>
        <w:ind w:hanging="360" w:left="1080"/>
      </w:pPr>
    </w:lvl>
    <w:lvl w:ilvl="2" w:tentative="1" w:tplc="0809001B">
      <w:start w:val="1"/>
      <w:numFmt w:val="lowerRoman"/>
      <w:lvlText w:val="%3."/>
      <w:lvlJc w:val="right"/>
      <w:pPr>
        <w:ind w:hanging="180" w:left="1800"/>
      </w:pPr>
    </w:lvl>
    <w:lvl w:ilvl="3" w:tentative="1" w:tplc="0809000F">
      <w:start w:val="1"/>
      <w:numFmt w:val="decimal"/>
      <w:lvlText w:val="%4."/>
      <w:lvlJc w:val="left"/>
      <w:pPr>
        <w:ind w:hanging="360" w:left="2520"/>
      </w:pPr>
    </w:lvl>
    <w:lvl w:ilvl="4" w:tentative="1" w:tplc="08090019">
      <w:start w:val="1"/>
      <w:numFmt w:val="lowerLetter"/>
      <w:lvlText w:val="%5."/>
      <w:lvlJc w:val="left"/>
      <w:pPr>
        <w:ind w:hanging="360" w:left="3240"/>
      </w:pPr>
    </w:lvl>
    <w:lvl w:ilvl="5" w:tentative="1" w:tplc="0809001B">
      <w:start w:val="1"/>
      <w:numFmt w:val="lowerRoman"/>
      <w:lvlText w:val="%6."/>
      <w:lvlJc w:val="right"/>
      <w:pPr>
        <w:ind w:hanging="180" w:left="3960"/>
      </w:pPr>
    </w:lvl>
    <w:lvl w:ilvl="6" w:tentative="1" w:tplc="0809000F">
      <w:start w:val="1"/>
      <w:numFmt w:val="decimal"/>
      <w:lvlText w:val="%7."/>
      <w:lvlJc w:val="left"/>
      <w:pPr>
        <w:ind w:hanging="360" w:left="4680"/>
      </w:pPr>
    </w:lvl>
    <w:lvl w:ilvl="7" w:tentative="1" w:tplc="08090019">
      <w:start w:val="1"/>
      <w:numFmt w:val="lowerLetter"/>
      <w:lvlText w:val="%8."/>
      <w:lvlJc w:val="left"/>
      <w:pPr>
        <w:ind w:hanging="360" w:left="5400"/>
      </w:pPr>
    </w:lvl>
    <w:lvl w:ilvl="8" w:tentative="1" w:tplc="0809001B">
      <w:start w:val="1"/>
      <w:numFmt w:val="lowerRoman"/>
      <w:lvlText w:val="%9."/>
      <w:lvlJc w:val="right"/>
      <w:pPr>
        <w:ind w:hanging="180" w:left="6120"/>
      </w:pPr>
    </w:lvl>
  </w:abstractNum>
  <w:abstractNum w15:restartNumberingAfterBreak="0" w:abstractNumId="2">
    <w:nsid w:val="74471AFE"/>
    <w:multiLevelType w:val="hybridMultilevel"/>
    <w:tmpl w:val="93884DA6"/>
    <w:lvl w:ilvl="0" w:tplc="08090017">
      <w:start w:val="1"/>
      <w:numFmt w:val="lowerLetter"/>
      <w:lvlText w:val="%1)"/>
      <w:lvlJc w:val="left"/>
      <w:pPr>
        <w:ind w:hanging="360" w:left="473"/>
      </w:pPr>
      <w:rPr>
        <w:rFonts w:hint="default"/>
      </w:rPr>
    </w:lvl>
    <w:lvl w:ilvl="1" w:tentative="1" w:tplc="08090003">
      <w:start w:val="1"/>
      <w:numFmt w:val="bullet"/>
      <w:lvlText w:val="o"/>
      <w:lvlJc w:val="left"/>
      <w:pPr>
        <w:ind w:hanging="360" w:left="1193"/>
      </w:pPr>
      <w:rPr>
        <w:rFonts w:ascii="Courier New" w:cs="Courier New" w:hAnsi="Courier New" w:hint="default"/>
      </w:rPr>
    </w:lvl>
    <w:lvl w:ilvl="2" w:tentative="1" w:tplc="08090005">
      <w:start w:val="1"/>
      <w:numFmt w:val="bullet"/>
      <w:lvlText w:val=""/>
      <w:lvlJc w:val="left"/>
      <w:pPr>
        <w:ind w:hanging="360" w:left="1913"/>
      </w:pPr>
      <w:rPr>
        <w:rFonts w:ascii="Wingdings" w:hAnsi="Wingdings" w:hint="default"/>
      </w:rPr>
    </w:lvl>
    <w:lvl w:ilvl="3" w:tentative="1" w:tplc="08090001">
      <w:start w:val="1"/>
      <w:numFmt w:val="bullet"/>
      <w:lvlText w:val=""/>
      <w:lvlJc w:val="left"/>
      <w:pPr>
        <w:ind w:hanging="360" w:left="2633"/>
      </w:pPr>
      <w:rPr>
        <w:rFonts w:ascii="Symbol" w:hAnsi="Symbol" w:hint="default"/>
      </w:rPr>
    </w:lvl>
    <w:lvl w:ilvl="4" w:tentative="1" w:tplc="08090003">
      <w:start w:val="1"/>
      <w:numFmt w:val="bullet"/>
      <w:lvlText w:val="o"/>
      <w:lvlJc w:val="left"/>
      <w:pPr>
        <w:ind w:hanging="360" w:left="3353"/>
      </w:pPr>
      <w:rPr>
        <w:rFonts w:ascii="Courier New" w:cs="Courier New" w:hAnsi="Courier New" w:hint="default"/>
      </w:rPr>
    </w:lvl>
    <w:lvl w:ilvl="5" w:tentative="1" w:tplc="08090005">
      <w:start w:val="1"/>
      <w:numFmt w:val="bullet"/>
      <w:lvlText w:val=""/>
      <w:lvlJc w:val="left"/>
      <w:pPr>
        <w:ind w:hanging="360" w:left="4073"/>
      </w:pPr>
      <w:rPr>
        <w:rFonts w:ascii="Wingdings" w:hAnsi="Wingdings" w:hint="default"/>
      </w:rPr>
    </w:lvl>
    <w:lvl w:ilvl="6" w:tentative="1" w:tplc="08090001">
      <w:start w:val="1"/>
      <w:numFmt w:val="bullet"/>
      <w:lvlText w:val=""/>
      <w:lvlJc w:val="left"/>
      <w:pPr>
        <w:ind w:hanging="360" w:left="4793"/>
      </w:pPr>
      <w:rPr>
        <w:rFonts w:ascii="Symbol" w:hAnsi="Symbol" w:hint="default"/>
      </w:rPr>
    </w:lvl>
    <w:lvl w:ilvl="7" w:tentative="1" w:tplc="08090003">
      <w:start w:val="1"/>
      <w:numFmt w:val="bullet"/>
      <w:lvlText w:val="o"/>
      <w:lvlJc w:val="left"/>
      <w:pPr>
        <w:ind w:hanging="360" w:left="5513"/>
      </w:pPr>
      <w:rPr>
        <w:rFonts w:ascii="Courier New" w:cs="Courier New" w:hAnsi="Courier New" w:hint="default"/>
      </w:rPr>
    </w:lvl>
    <w:lvl w:ilvl="8" w:tentative="1" w:tplc="08090005">
      <w:start w:val="1"/>
      <w:numFmt w:val="bullet"/>
      <w:lvlText w:val=""/>
      <w:lvlJc w:val="left"/>
      <w:pPr>
        <w:ind w:hanging="360" w:left="6233"/>
      </w:pPr>
      <w:rPr>
        <w:rFonts w:ascii="Wingdings" w:hAnsi="Wingdings" w:hint="default"/>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removePersonalInformation/>
  <w:removeDateAndTime/>
  <w:documentProtection w:enforcement="1" w:edit="readOnly" w:salt="psbYTws/uFo2ldOelT/Zaw==" w:hash="7TeKpOcnOqG7lWLPQRdDMdPm2rQ=" w:cryptSpinCount="100000" w:cryptAlgorithmType="typeAny" w:cryptAlgorithmClass="hash" w:cryptProviderType="rsaFull" w:cryptAlgorithmSid="4"/>
  <w:defaultTabStop w:val="720"/>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B60"/>
    <w:rsid w:val="000113BF"/>
    <w:rsid w:val="00012B21"/>
    <w:rsid w:val="00025515"/>
    <w:rsid w:val="000260A2"/>
    <w:rsid w:val="0002778D"/>
    <w:rsid w:val="00027F4D"/>
    <w:rsid w:val="00034E46"/>
    <w:rsid w:val="000354C1"/>
    <w:rsid w:val="00053FC4"/>
    <w:rsid w:val="0005410F"/>
    <w:rsid w:val="00054F39"/>
    <w:rsid w:val="000631F7"/>
    <w:rsid w:val="000809A7"/>
    <w:rsid w:val="00082602"/>
    <w:rsid w:val="000832D2"/>
    <w:rsid w:val="00084A9D"/>
    <w:rsid w:val="00086FAC"/>
    <w:rsid w:val="00087AE6"/>
    <w:rsid w:val="000A3373"/>
    <w:rsid w:val="000A7141"/>
    <w:rsid w:val="000A7676"/>
    <w:rsid w:val="000B07F3"/>
    <w:rsid w:val="000B112E"/>
    <w:rsid w:val="000B62E9"/>
    <w:rsid w:val="000C116D"/>
    <w:rsid w:val="000C4382"/>
    <w:rsid w:val="000C4905"/>
    <w:rsid w:val="000C4B70"/>
    <w:rsid w:val="000C5A38"/>
    <w:rsid w:val="000D5E6F"/>
    <w:rsid w:val="000E3766"/>
    <w:rsid w:val="000E6B2B"/>
    <w:rsid w:val="000F2860"/>
    <w:rsid w:val="000F4B41"/>
    <w:rsid w:val="000F75C8"/>
    <w:rsid w:val="00101CE2"/>
    <w:rsid w:val="001108B7"/>
    <w:rsid w:val="00112088"/>
    <w:rsid w:val="00113C83"/>
    <w:rsid w:val="00114F23"/>
    <w:rsid w:val="001279D8"/>
    <w:rsid w:val="0013166D"/>
    <w:rsid w:val="00131D17"/>
    <w:rsid w:val="00136AD4"/>
    <w:rsid w:val="00137F72"/>
    <w:rsid w:val="001406A3"/>
    <w:rsid w:val="00150FB2"/>
    <w:rsid w:val="00151E51"/>
    <w:rsid w:val="0018208C"/>
    <w:rsid w:val="0018280C"/>
    <w:rsid w:val="00183D92"/>
    <w:rsid w:val="0019762F"/>
    <w:rsid w:val="001A3DC3"/>
    <w:rsid w:val="001A5F5E"/>
    <w:rsid w:val="001A686D"/>
    <w:rsid w:val="001B0513"/>
    <w:rsid w:val="001B715F"/>
    <w:rsid w:val="001E0C6D"/>
    <w:rsid w:val="001E30E7"/>
    <w:rsid w:val="001F5E72"/>
    <w:rsid w:val="001F5EB1"/>
    <w:rsid w:val="0020115A"/>
    <w:rsid w:val="002011BD"/>
    <w:rsid w:val="0020360A"/>
    <w:rsid w:val="002040AA"/>
    <w:rsid w:val="00206781"/>
    <w:rsid w:val="002103C4"/>
    <w:rsid w:val="00211767"/>
    <w:rsid w:val="00211B82"/>
    <w:rsid w:val="00225F87"/>
    <w:rsid w:val="00234C77"/>
    <w:rsid w:val="00240B15"/>
    <w:rsid w:val="00242468"/>
    <w:rsid w:val="00250199"/>
    <w:rsid w:val="00250214"/>
    <w:rsid w:val="00251DEF"/>
    <w:rsid w:val="00253D49"/>
    <w:rsid w:val="0026012C"/>
    <w:rsid w:val="0026043A"/>
    <w:rsid w:val="00274044"/>
    <w:rsid w:val="00275274"/>
    <w:rsid w:val="00281517"/>
    <w:rsid w:val="00293A1D"/>
    <w:rsid w:val="002A0EA4"/>
    <w:rsid w:val="002A5919"/>
    <w:rsid w:val="002A6691"/>
    <w:rsid w:val="002B2CF2"/>
    <w:rsid w:val="002B49F3"/>
    <w:rsid w:val="002B7C68"/>
    <w:rsid w:val="002C2126"/>
    <w:rsid w:val="002C31DC"/>
    <w:rsid w:val="002D614D"/>
    <w:rsid w:val="002E2FFD"/>
    <w:rsid w:val="002F32A4"/>
    <w:rsid w:val="00300013"/>
    <w:rsid w:val="00301882"/>
    <w:rsid w:val="00302030"/>
    <w:rsid w:val="00310E2D"/>
    <w:rsid w:val="00315323"/>
    <w:rsid w:val="00320534"/>
    <w:rsid w:val="00322E46"/>
    <w:rsid w:val="003239FA"/>
    <w:rsid w:val="00326916"/>
    <w:rsid w:val="00327C43"/>
    <w:rsid w:val="00330DCA"/>
    <w:rsid w:val="00331949"/>
    <w:rsid w:val="0033370C"/>
    <w:rsid w:val="00343657"/>
    <w:rsid w:val="00345B1A"/>
    <w:rsid w:val="00352386"/>
    <w:rsid w:val="00352B60"/>
    <w:rsid w:val="0036557C"/>
    <w:rsid w:val="003655CE"/>
    <w:rsid w:val="0037183C"/>
    <w:rsid w:val="00381385"/>
    <w:rsid w:val="00393F18"/>
    <w:rsid w:val="003B6698"/>
    <w:rsid w:val="003B7434"/>
    <w:rsid w:val="003C362F"/>
    <w:rsid w:val="003C4FB2"/>
    <w:rsid w:val="003C51D3"/>
    <w:rsid w:val="003C7E88"/>
    <w:rsid w:val="003D1413"/>
    <w:rsid w:val="003D308C"/>
    <w:rsid w:val="003D4D07"/>
    <w:rsid w:val="003E02CC"/>
    <w:rsid w:val="003E0CDE"/>
    <w:rsid w:val="003F2880"/>
    <w:rsid w:val="0040102B"/>
    <w:rsid w:val="0040170C"/>
    <w:rsid w:val="00416A7B"/>
    <w:rsid w:val="004171A3"/>
    <w:rsid w:val="00444421"/>
    <w:rsid w:val="00454DB7"/>
    <w:rsid w:val="00462537"/>
    <w:rsid w:val="004629A1"/>
    <w:rsid w:val="00482C8D"/>
    <w:rsid w:val="00491DF7"/>
    <w:rsid w:val="004950A2"/>
    <w:rsid w:val="0049608D"/>
    <w:rsid w:val="004A08CF"/>
    <w:rsid w:val="004A4B66"/>
    <w:rsid w:val="004B248C"/>
    <w:rsid w:val="004B31A7"/>
    <w:rsid w:val="004B398B"/>
    <w:rsid w:val="004D0718"/>
    <w:rsid w:val="004D110B"/>
    <w:rsid w:val="004D2F3C"/>
    <w:rsid w:val="004D54B0"/>
    <w:rsid w:val="004E1153"/>
    <w:rsid w:val="004E2095"/>
    <w:rsid w:val="004E5060"/>
    <w:rsid w:val="004E58C0"/>
    <w:rsid w:val="004E649A"/>
    <w:rsid w:val="00500527"/>
    <w:rsid w:val="00507998"/>
    <w:rsid w:val="005142B2"/>
    <w:rsid w:val="00514A7B"/>
    <w:rsid w:val="00514B03"/>
    <w:rsid w:val="00526E24"/>
    <w:rsid w:val="00530BD2"/>
    <w:rsid w:val="0054599F"/>
    <w:rsid w:val="00547505"/>
    <w:rsid w:val="005533CC"/>
    <w:rsid w:val="00572D2D"/>
    <w:rsid w:val="005951AF"/>
    <w:rsid w:val="00597532"/>
    <w:rsid w:val="00597DD7"/>
    <w:rsid w:val="005A7064"/>
    <w:rsid w:val="005A76C6"/>
    <w:rsid w:val="005B5667"/>
    <w:rsid w:val="005B6AE4"/>
    <w:rsid w:val="005C251A"/>
    <w:rsid w:val="005C32CB"/>
    <w:rsid w:val="005D10E5"/>
    <w:rsid w:val="005D1F4A"/>
    <w:rsid w:val="005D4FB5"/>
    <w:rsid w:val="005D5B5A"/>
    <w:rsid w:val="005E3EAD"/>
    <w:rsid w:val="005E52DC"/>
    <w:rsid w:val="005E6BC3"/>
    <w:rsid w:val="005F5091"/>
    <w:rsid w:val="005F6847"/>
    <w:rsid w:val="0060197A"/>
    <w:rsid w:val="00605057"/>
    <w:rsid w:val="0061142E"/>
    <w:rsid w:val="00617380"/>
    <w:rsid w:val="00625939"/>
    <w:rsid w:val="00630816"/>
    <w:rsid w:val="00640E37"/>
    <w:rsid w:val="00642E35"/>
    <w:rsid w:val="00650AD1"/>
    <w:rsid w:val="006530A0"/>
    <w:rsid w:val="00662D69"/>
    <w:rsid w:val="00665206"/>
    <w:rsid w:val="00685259"/>
    <w:rsid w:val="00693CEA"/>
    <w:rsid w:val="006B06C4"/>
    <w:rsid w:val="006D4CFE"/>
    <w:rsid w:val="006D5EDD"/>
    <w:rsid w:val="006D6393"/>
    <w:rsid w:val="006D6621"/>
    <w:rsid w:val="006D7947"/>
    <w:rsid w:val="006E487D"/>
    <w:rsid w:val="006E7A35"/>
    <w:rsid w:val="006F3248"/>
    <w:rsid w:val="006F5AFB"/>
    <w:rsid w:val="006F6D28"/>
    <w:rsid w:val="00701BF7"/>
    <w:rsid w:val="007038E6"/>
    <w:rsid w:val="00705BBB"/>
    <w:rsid w:val="00706ABB"/>
    <w:rsid w:val="0070744C"/>
    <w:rsid w:val="00712C37"/>
    <w:rsid w:val="0074479D"/>
    <w:rsid w:val="0076431D"/>
    <w:rsid w:val="007752E1"/>
    <w:rsid w:val="00791578"/>
    <w:rsid w:val="0079517F"/>
    <w:rsid w:val="00796FA7"/>
    <w:rsid w:val="007B409B"/>
    <w:rsid w:val="007B7FD1"/>
    <w:rsid w:val="007C468B"/>
    <w:rsid w:val="007C5003"/>
    <w:rsid w:val="007C7002"/>
    <w:rsid w:val="007C7537"/>
    <w:rsid w:val="007E1570"/>
    <w:rsid w:val="007E1A22"/>
    <w:rsid w:val="00801918"/>
    <w:rsid w:val="00802B58"/>
    <w:rsid w:val="00811829"/>
    <w:rsid w:val="00816707"/>
    <w:rsid w:val="008211E3"/>
    <w:rsid w:val="00827137"/>
    <w:rsid w:val="008316F5"/>
    <w:rsid w:val="00832CC2"/>
    <w:rsid w:val="008366EB"/>
    <w:rsid w:val="00841369"/>
    <w:rsid w:val="0086003A"/>
    <w:rsid w:val="008607F6"/>
    <w:rsid w:val="00870A9C"/>
    <w:rsid w:val="008711C3"/>
    <w:rsid w:val="00875A06"/>
    <w:rsid w:val="0087641F"/>
    <w:rsid w:val="00876A81"/>
    <w:rsid w:val="0088073E"/>
    <w:rsid w:val="00893ED9"/>
    <w:rsid w:val="0089779F"/>
    <w:rsid w:val="008A130B"/>
    <w:rsid w:val="008A3E89"/>
    <w:rsid w:val="008B0872"/>
    <w:rsid w:val="008B2B9A"/>
    <w:rsid w:val="008B6394"/>
    <w:rsid w:val="008C0647"/>
    <w:rsid w:val="008E5F4D"/>
    <w:rsid w:val="008F0B5A"/>
    <w:rsid w:val="00900634"/>
    <w:rsid w:val="00907A7D"/>
    <w:rsid w:val="009123D2"/>
    <w:rsid w:val="00912455"/>
    <w:rsid w:val="009244AE"/>
    <w:rsid w:val="00924DF9"/>
    <w:rsid w:val="00927B0E"/>
    <w:rsid w:val="00933468"/>
    <w:rsid w:val="00946550"/>
    <w:rsid w:val="0094724E"/>
    <w:rsid w:val="00950F3B"/>
    <w:rsid w:val="009522E9"/>
    <w:rsid w:val="00961318"/>
    <w:rsid w:val="0097177E"/>
    <w:rsid w:val="00987C3C"/>
    <w:rsid w:val="009A6BA9"/>
    <w:rsid w:val="009A7994"/>
    <w:rsid w:val="009B21B1"/>
    <w:rsid w:val="009B486C"/>
    <w:rsid w:val="009B50DB"/>
    <w:rsid w:val="009B617A"/>
    <w:rsid w:val="009C0B54"/>
    <w:rsid w:val="009D388D"/>
    <w:rsid w:val="009D499B"/>
    <w:rsid w:val="009D6F65"/>
    <w:rsid w:val="009E5213"/>
    <w:rsid w:val="00A022CE"/>
    <w:rsid w:val="00A078D4"/>
    <w:rsid w:val="00A15062"/>
    <w:rsid w:val="00A15456"/>
    <w:rsid w:val="00A2005A"/>
    <w:rsid w:val="00A225C0"/>
    <w:rsid w:val="00A30AE5"/>
    <w:rsid w:val="00A33AA4"/>
    <w:rsid w:val="00A42C80"/>
    <w:rsid w:val="00A44255"/>
    <w:rsid w:val="00A52058"/>
    <w:rsid w:val="00A56398"/>
    <w:rsid w:val="00A571D5"/>
    <w:rsid w:val="00A579A5"/>
    <w:rsid w:val="00A659C2"/>
    <w:rsid w:val="00A66273"/>
    <w:rsid w:val="00A71855"/>
    <w:rsid w:val="00A877EE"/>
    <w:rsid w:val="00A90FA2"/>
    <w:rsid w:val="00A91352"/>
    <w:rsid w:val="00A91FDB"/>
    <w:rsid w:val="00AA054E"/>
    <w:rsid w:val="00AA5712"/>
    <w:rsid w:val="00AB2D5F"/>
    <w:rsid w:val="00AB36AE"/>
    <w:rsid w:val="00AC12CF"/>
    <w:rsid w:val="00AC1B86"/>
    <w:rsid w:val="00AD0573"/>
    <w:rsid w:val="00AD502F"/>
    <w:rsid w:val="00AD78A7"/>
    <w:rsid w:val="00AE22E8"/>
    <w:rsid w:val="00AE607C"/>
    <w:rsid w:val="00AF0CA4"/>
    <w:rsid w:val="00AF236A"/>
    <w:rsid w:val="00AF7769"/>
    <w:rsid w:val="00AF7E54"/>
    <w:rsid w:val="00B04B22"/>
    <w:rsid w:val="00B14588"/>
    <w:rsid w:val="00B20F74"/>
    <w:rsid w:val="00B21388"/>
    <w:rsid w:val="00B21FD8"/>
    <w:rsid w:val="00B23A85"/>
    <w:rsid w:val="00B30A40"/>
    <w:rsid w:val="00B41FB2"/>
    <w:rsid w:val="00B42F50"/>
    <w:rsid w:val="00B52033"/>
    <w:rsid w:val="00B548A2"/>
    <w:rsid w:val="00B96929"/>
    <w:rsid w:val="00B96B89"/>
    <w:rsid w:val="00BC26B8"/>
    <w:rsid w:val="00BC6364"/>
    <w:rsid w:val="00BD32D3"/>
    <w:rsid w:val="00BD647E"/>
    <w:rsid w:val="00BE2E80"/>
    <w:rsid w:val="00BF2AA0"/>
    <w:rsid w:val="00BF4E76"/>
    <w:rsid w:val="00BF6711"/>
    <w:rsid w:val="00C03F13"/>
    <w:rsid w:val="00C07328"/>
    <w:rsid w:val="00C11AF2"/>
    <w:rsid w:val="00C12C1A"/>
    <w:rsid w:val="00C22FA6"/>
    <w:rsid w:val="00C26425"/>
    <w:rsid w:val="00C30886"/>
    <w:rsid w:val="00C41BDB"/>
    <w:rsid w:val="00C44436"/>
    <w:rsid w:val="00C506AA"/>
    <w:rsid w:val="00C52828"/>
    <w:rsid w:val="00C72F0D"/>
    <w:rsid w:val="00C7427B"/>
    <w:rsid w:val="00C747E3"/>
    <w:rsid w:val="00C80F64"/>
    <w:rsid w:val="00C83F62"/>
    <w:rsid w:val="00C8563A"/>
    <w:rsid w:val="00C873BE"/>
    <w:rsid w:val="00C91945"/>
    <w:rsid w:val="00C9327E"/>
    <w:rsid w:val="00CA47A9"/>
    <w:rsid w:val="00CA70A8"/>
    <w:rsid w:val="00CB17EA"/>
    <w:rsid w:val="00CB18FA"/>
    <w:rsid w:val="00CB1ECD"/>
    <w:rsid w:val="00CB3AAF"/>
    <w:rsid w:val="00CB595A"/>
    <w:rsid w:val="00CB6370"/>
    <w:rsid w:val="00CC2DEA"/>
    <w:rsid w:val="00CC34A7"/>
    <w:rsid w:val="00CC456A"/>
    <w:rsid w:val="00CD3869"/>
    <w:rsid w:val="00CE5E8D"/>
    <w:rsid w:val="00CE6902"/>
    <w:rsid w:val="00CE7E27"/>
    <w:rsid w:val="00D02ED0"/>
    <w:rsid w:val="00D03C12"/>
    <w:rsid w:val="00D1418D"/>
    <w:rsid w:val="00D15BEF"/>
    <w:rsid w:val="00D20338"/>
    <w:rsid w:val="00D2611D"/>
    <w:rsid w:val="00D27D7F"/>
    <w:rsid w:val="00D31A68"/>
    <w:rsid w:val="00D329F7"/>
    <w:rsid w:val="00D403B6"/>
    <w:rsid w:val="00D405AC"/>
    <w:rsid w:val="00D42BDA"/>
    <w:rsid w:val="00D51F72"/>
    <w:rsid w:val="00D714FE"/>
    <w:rsid w:val="00D760B4"/>
    <w:rsid w:val="00D805A0"/>
    <w:rsid w:val="00D83623"/>
    <w:rsid w:val="00D8785D"/>
    <w:rsid w:val="00D9061D"/>
    <w:rsid w:val="00DA1E2E"/>
    <w:rsid w:val="00DA2C01"/>
    <w:rsid w:val="00DA5BB0"/>
    <w:rsid w:val="00DA5E5D"/>
    <w:rsid w:val="00DB2DC6"/>
    <w:rsid w:val="00DC0C1A"/>
    <w:rsid w:val="00DC7DF8"/>
    <w:rsid w:val="00DD6FA8"/>
    <w:rsid w:val="00DF3C26"/>
    <w:rsid w:val="00E035B3"/>
    <w:rsid w:val="00E12EEF"/>
    <w:rsid w:val="00E13F52"/>
    <w:rsid w:val="00E272A5"/>
    <w:rsid w:val="00E27E09"/>
    <w:rsid w:val="00E32B6D"/>
    <w:rsid w:val="00E37589"/>
    <w:rsid w:val="00E46FF6"/>
    <w:rsid w:val="00E5024E"/>
    <w:rsid w:val="00E515B7"/>
    <w:rsid w:val="00E61275"/>
    <w:rsid w:val="00E61441"/>
    <w:rsid w:val="00E6164F"/>
    <w:rsid w:val="00E658FD"/>
    <w:rsid w:val="00E677E4"/>
    <w:rsid w:val="00E73451"/>
    <w:rsid w:val="00E81DA7"/>
    <w:rsid w:val="00E8478C"/>
    <w:rsid w:val="00E90E36"/>
    <w:rsid w:val="00E923E9"/>
    <w:rsid w:val="00E925ED"/>
    <w:rsid w:val="00E94CDB"/>
    <w:rsid w:val="00E97115"/>
    <w:rsid w:val="00EB0CF9"/>
    <w:rsid w:val="00EB5D94"/>
    <w:rsid w:val="00EB61FF"/>
    <w:rsid w:val="00ED578B"/>
    <w:rsid w:val="00EE47ED"/>
    <w:rsid w:val="00EE4E18"/>
    <w:rsid w:val="00EF34CA"/>
    <w:rsid w:val="00EF48B5"/>
    <w:rsid w:val="00EF67CD"/>
    <w:rsid w:val="00F102E8"/>
    <w:rsid w:val="00F154EC"/>
    <w:rsid w:val="00F178C7"/>
    <w:rsid w:val="00F17C41"/>
    <w:rsid w:val="00F27E39"/>
    <w:rsid w:val="00F30DFB"/>
    <w:rsid w:val="00F37565"/>
    <w:rsid w:val="00F418EC"/>
    <w:rsid w:val="00F51FEF"/>
    <w:rsid w:val="00F53A95"/>
    <w:rsid w:val="00F57728"/>
    <w:rsid w:val="00F60C89"/>
    <w:rsid w:val="00F60D71"/>
    <w:rsid w:val="00F647A2"/>
    <w:rsid w:val="00F80632"/>
    <w:rsid w:val="00F82123"/>
    <w:rsid w:val="00F92609"/>
    <w:rsid w:val="00FA3869"/>
    <w:rsid w:val="00FA5D13"/>
    <w:rsid w:val="00FA68C4"/>
    <w:rsid w:val="00FC1A78"/>
    <w:rsid w:val="00FC63CA"/>
    <w:rsid w:val="00FD13F3"/>
    <w:rsid w:val="00FD7A8E"/>
    <w:rsid w:val="00FE35C9"/>
    <w:rsid w:val="00FE725F"/>
  </w:rsids>
  <m:mathPr>
    <m:mathFont m:val="Cambria Math"/>
    <m:brkBin m:val="before"/>
    <m:brkBinSub m:val="--"/>
    <m:smallFrac m:val="0"/>
    <m:dispDef/>
    <m:lMargin m:val="0"/>
    <m:rMargin m:val="0"/>
    <m:defJc m:val="centerGroup"/>
    <m:wrapIndent m:val="1440"/>
    <m:intLim m:val="subSup"/>
    <m:naryLim m:val="undOvr"/>
  </m:mathPr>
  <w:themeFontLang w:val="en-GB"/>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Times New Roman" w:eastAsia="Calibri" w:hAnsi="Calibri"/>
        <w:lang w:bidi="ar-SA" w:eastAsia="en-GB" w:val="en-GB"/>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pPr>
      <w:spacing w:after="200" w:line="276" w:lineRule="auto"/>
    </w:pPr>
    <w:rPr>
      <w:sz w:val="22"/>
      <w:szCs w:val="22"/>
      <w:lang w:eastAsia="en-U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TableGrid" w:type="table">
    <w:name w:val="TableGrid"/>
    <w:rsid w:val="002B2CF2"/>
    <w:rPr>
      <w:rFonts w:asciiTheme="minorHAnsi" w:cstheme="minorBidi" w:eastAsiaTheme="minorEastAsia" w:hAnsiTheme="minorHAnsi"/>
      <w:sz w:val="22"/>
      <w:szCs w:val="22"/>
      <w:lang w:eastAsia="en-US" w:val="en-US"/>
    </w:rPr>
    <w:tblPr>
      <w:tblCellMar>
        <w:top w:type="dxa" w:w="0"/>
        <w:left w:type="dxa" w:w="0"/>
        <w:bottom w:type="dxa" w:w="0"/>
        <w:right w:type="dxa" w:w="0"/>
      </w:tblCellMar>
    </w:tblPr>
  </w:style>
  <w:style w:styleId="BalloonText" w:type="paragraph">
    <w:name w:val="Balloon Text"/>
    <w:basedOn w:val="Normal"/>
    <w:link w:val="BalloonTextChar"/>
    <w:uiPriority w:val="99"/>
    <w:semiHidden/>
    <w:unhideWhenUsed/>
    <w:rsid w:val="002B2CF2"/>
    <w:pPr>
      <w:spacing w:after="0" w:line="240" w:lineRule="auto"/>
    </w:pPr>
    <w:rPr>
      <w:rFonts w:ascii="Tahoma" w:cs="Tahoma" w:hAnsi="Tahoma"/>
      <w:sz w:val="16"/>
      <w:szCs w:val="16"/>
    </w:rPr>
  </w:style>
  <w:style w:customStyle="1" w:styleId="BalloonTextChar" w:type="character">
    <w:name w:val="Balloon Text Char"/>
    <w:basedOn w:val="DefaultParagraphFont"/>
    <w:link w:val="BalloonText"/>
    <w:uiPriority w:val="99"/>
    <w:semiHidden/>
    <w:rsid w:val="002B2CF2"/>
    <w:rPr>
      <w:rFonts w:ascii="Tahoma" w:cs="Tahoma" w:hAnsi="Tahoma"/>
      <w:sz w:val="16"/>
      <w:szCs w:val="16"/>
      <w:lang w:eastAsia="en-US"/>
    </w:rPr>
  </w:style>
  <w:style w:styleId="CommentReference" w:type="character">
    <w:name w:val="annotation reference"/>
    <w:basedOn w:val="DefaultParagraphFont"/>
    <w:uiPriority w:val="99"/>
    <w:semiHidden/>
    <w:unhideWhenUsed/>
    <w:rsid w:val="009E5213"/>
    <w:rPr>
      <w:sz w:val="16"/>
      <w:szCs w:val="16"/>
    </w:rPr>
  </w:style>
  <w:style w:styleId="ListParagraph" w:type="paragraph">
    <w:name w:val="List Paragraph"/>
    <w:basedOn w:val="Normal"/>
    <w:uiPriority w:val="34"/>
    <w:qFormat/>
    <w:rsid w:val="000C4B70"/>
    <w:pPr>
      <w:spacing w:after="160" w:line="259" w:lineRule="auto"/>
      <w:ind w:left="720"/>
      <w:contextualSpacing/>
    </w:pPr>
    <w:rPr>
      <w:rFonts w:cs="Calibri"/>
      <w:color w:val="000000"/>
      <w:lang w:val="en-US"/>
    </w:rPr>
  </w:style>
  <w:style w:styleId="Footer" w:type="paragraph">
    <w:name w:val="footer"/>
    <w:basedOn w:val="Normal"/>
    <w:link w:val="FooterChar"/>
    <w:uiPriority w:val="99"/>
    <w:unhideWhenUsed/>
    <w:rsid w:val="00B96929"/>
    <w:pPr>
      <w:tabs>
        <w:tab w:pos="4536" w:val="center"/>
        <w:tab w:pos="9072" w:val="right"/>
      </w:tabs>
      <w:spacing w:after="0" w:line="240" w:lineRule="auto"/>
    </w:pPr>
    <w:rPr>
      <w:rFonts w:cs="Calibri"/>
      <w:color w:val="000000"/>
      <w:lang w:val="en-US"/>
    </w:rPr>
  </w:style>
  <w:style w:customStyle="1" w:styleId="FooterChar" w:type="character">
    <w:name w:val="Footer Char"/>
    <w:basedOn w:val="DefaultParagraphFont"/>
    <w:link w:val="Footer"/>
    <w:uiPriority w:val="99"/>
    <w:rsid w:val="00B96929"/>
    <w:rPr>
      <w:rFonts w:cs="Calibri"/>
      <w:color w:val="000000"/>
      <w:sz w:val="22"/>
      <w:szCs w:val="22"/>
      <w:lang w:eastAsia="en-US" w:val="en-US"/>
    </w:rPr>
  </w:style>
  <w:style w:styleId="Header" w:type="paragraph">
    <w:name w:val="header"/>
    <w:basedOn w:val="Normal"/>
    <w:link w:val="HeaderChar"/>
    <w:uiPriority w:val="99"/>
    <w:unhideWhenUsed/>
    <w:rsid w:val="005E6BC3"/>
    <w:pPr>
      <w:tabs>
        <w:tab w:pos="4513" w:val="center"/>
        <w:tab w:pos="9026" w:val="right"/>
      </w:tabs>
      <w:spacing w:after="0" w:line="240" w:lineRule="auto"/>
    </w:pPr>
  </w:style>
  <w:style w:customStyle="1" w:styleId="HeaderChar" w:type="character">
    <w:name w:val="Header Char"/>
    <w:basedOn w:val="DefaultParagraphFont"/>
    <w:link w:val="Header"/>
    <w:uiPriority w:val="99"/>
    <w:rsid w:val="005E6BC3"/>
    <w:rPr>
      <w:sz w:val="22"/>
      <w:szCs w:val="22"/>
      <w:lang w:eastAsia="en-US"/>
    </w:rPr>
  </w:style>
  <w:style w:styleId="Hyperlink" w:type="character">
    <w:name w:val="Hyperlink"/>
    <w:basedOn w:val="DefaultParagraphFont"/>
    <w:uiPriority w:val="99"/>
    <w:unhideWhenUsed/>
    <w:rsid w:val="00597532"/>
    <w:rPr>
      <w:color w:themeColor="hyperlink" w:val="0000FF"/>
      <w:u w:val="single"/>
    </w:rPr>
  </w:style>
  <w:style w:styleId="TableGrid0" w:type="table">
    <w:name w:val="Table Grid"/>
    <w:basedOn w:val="TableNormal"/>
    <w:uiPriority w:val="59"/>
    <w:rsid w:val="00150FB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HTMLPreformatted" w:type="paragraph">
    <w:name w:val="HTML Preformatted"/>
    <w:basedOn w:val="Normal"/>
    <w:link w:val="HTMLPreformattedChar"/>
    <w:uiPriority w:val="99"/>
    <w:unhideWhenUsed/>
    <w:rsid w:val="00F60C89"/>
    <w:pPr>
      <w:tabs>
        <w:tab w:pos="916" w:val="left"/>
        <w:tab w:pos="1832" w:val="left"/>
        <w:tab w:pos="2748" w:val="left"/>
        <w:tab w:pos="3664" w:val="left"/>
        <w:tab w:pos="4580" w:val="left"/>
        <w:tab w:pos="5496" w:val="left"/>
        <w:tab w:pos="6412" w:val="left"/>
        <w:tab w:pos="7328" w:val="left"/>
        <w:tab w:pos="8244" w:val="left"/>
        <w:tab w:pos="9160" w:val="left"/>
        <w:tab w:pos="10076" w:val="left"/>
        <w:tab w:pos="10992" w:val="left"/>
        <w:tab w:pos="11908" w:val="left"/>
        <w:tab w:pos="12824" w:val="left"/>
        <w:tab w:pos="13740" w:val="left"/>
        <w:tab w:pos="14656" w:val="left"/>
      </w:tabs>
      <w:spacing w:after="0" w:line="240" w:lineRule="auto"/>
    </w:pPr>
    <w:rPr>
      <w:rFonts w:ascii="Courier New" w:cs="Courier New" w:eastAsia="Times New Roman" w:hAnsi="Courier New"/>
      <w:sz w:val="20"/>
      <w:szCs w:val="20"/>
      <w:lang w:eastAsia="en-GB"/>
    </w:rPr>
  </w:style>
  <w:style w:customStyle="1" w:styleId="HTMLPreformattedChar" w:type="character">
    <w:name w:val="HTML Preformatted Char"/>
    <w:basedOn w:val="DefaultParagraphFont"/>
    <w:link w:val="HTMLPreformatted"/>
    <w:uiPriority w:val="99"/>
    <w:rsid w:val="00F60C89"/>
    <w:rPr>
      <w:rFonts w:ascii="Courier New" w:cs="Courier New" w:eastAsia="Times New Roman" w:hAnsi="Courier New"/>
    </w:rPr>
  </w:style>
  <w:style w:styleId="CommentText" w:type="paragraph">
    <w:name w:val="annotation text"/>
    <w:basedOn w:val="Normal"/>
    <w:link w:val="CommentTextChar"/>
    <w:uiPriority w:val="99"/>
    <w:semiHidden/>
    <w:unhideWhenUsed/>
    <w:rsid w:val="00462537"/>
    <w:pPr>
      <w:spacing w:line="240" w:lineRule="auto"/>
    </w:pPr>
    <w:rPr>
      <w:rFonts w:asciiTheme="minorHAnsi" w:cstheme="minorBidi" w:eastAsiaTheme="minorHAnsi" w:hAnsiTheme="minorHAnsi"/>
      <w:sz w:val="20"/>
      <w:szCs w:val="20"/>
    </w:rPr>
  </w:style>
  <w:style w:customStyle="1" w:styleId="CommentTextChar" w:type="character">
    <w:name w:val="Comment Text Char"/>
    <w:basedOn w:val="DefaultParagraphFont"/>
    <w:link w:val="CommentText"/>
    <w:uiPriority w:val="99"/>
    <w:semiHidden/>
    <w:rsid w:val="00462537"/>
    <w:rPr>
      <w:rFonts w:asciiTheme="minorHAnsi" w:cstheme="minorBidi" w:eastAsiaTheme="minorHAnsi" w:hAnsiTheme="minorHAnsi"/>
      <w:lang w:eastAsia="en-US"/>
    </w:rPr>
  </w:style>
  <w:style w:styleId="XDocReport_Heading_1" w:type="paragraph">
    <w:name w:val="heading 1"/>
    <w:uiPriority w:val="9"/>
    <w:rsid w:val="00285B63"/>
    <w:pPr>
      <w:keepNext/>
      <w:keepLines/>
      <w:spacing w:after="0" w:before="480"/>
      <w:outlineLvl w:val="0"/>
    </w:pPr>
    <w:rPr>
      <w:rFonts w:asciiTheme="majorHAnsi" w:cstheme="majorBidi" w:eastAsiaTheme="majorEastAsia" w:hAnsiTheme="majorHAnsi"/>
      <w:b/>
      <w:bCs/>
      <w:color w:themeColor="accent1" w:themeShade="BF" w:val="365F91"/>
      <w:sz w:val="28"/>
      <w:szCs w:val="28"/>
    </w:rPr>
  </w:style>
  <w:style w:styleId="XDocReport_Heading_2" w:type="paragraph">
    <w:name w:val="heading 2"/>
    <!-- <w:basedOn w:val="Normal" /> <w:next w:val="Normal" /> <w:link w:val="Titre2Car" /> -->
    <w:uiPriority w:val="9"/>
    <w:unhideWhenUsed/>
    <w:rsid w:val="00285B63"/>
    <w:pPr>
      <w:keepNext/>
      <w:keepLines/>
      <w:spacing w:after="0" w:before="200"/>
      <w:outlineLvl w:val="1"/>
    </w:pPr>
    <w:rPr>
      <w:rFonts w:asciiTheme="majorHAnsi" w:cstheme="majorBidi" w:eastAsiaTheme="majorEastAsia" w:hAnsiTheme="majorHAnsi"/>
      <w:b/>
      <w:bCs/>
      <w:color w:themeColor="accent1" w:val="4F81BD"/>
      <w:sz w:val="26"/>
      <w:szCs w:val="26"/>
    </w:rPr>
  </w:style>
  <w:style w:styleId="XDocReport_Heading_3" w:type="paragraph">
    <w:name w:val="heading 3"/>
    <!-- <w:basedOn w:val="Normal" /> <w:next w:val="Normal" /> <w:link w:val="Titre3Car"   /> -->
    <w:uiPriority w:val="9"/>
    <w:unhideWhenUsed/>
    <w:rsid w:val="00285B63"/>
    <w:pPr>
      <w:keepNext/>
      <w:keepLines/>
      <w:spacing w:after="0" w:before="200"/>
      <w:outlineLvl w:val="2"/>
    </w:pPr>
    <w:rPr>
      <w:rFonts w:asciiTheme="majorHAnsi" w:cstheme="majorBidi" w:eastAsiaTheme="majorEastAsia" w:hAnsiTheme="majorHAnsi"/>
      <w:b/>
      <w:bCs/>
      <w:color w:themeColor="accent1" w:val="4F81BD"/>
    </w:rPr>
  </w:style>
  <w:style w:styleId="XDocReport_Heading_4" w:type="paragraph">
    <w:name w:val="heading 4"/>
    <!-- <w:basedOn w:val="Normal" /> <w:next w:val="Normal" /> <w:link w:val="Titre4Car" /> -->
    <w:uiPriority w:val="9"/>
    <w:unhideWhenUsed/>
    <w:qFormat/>
    <w:rsid w:val="005F433E"/>
    <w:pPr>
      <w:keepNext/>
      <w:keepLines/>
      <w:spacing w:after="0" w:before="200"/>
      <w:outlineLvl w:val="3"/>
    </w:pPr>
    <w:rPr>
      <w:rFonts w:asciiTheme="majorHAnsi" w:cstheme="majorBidi" w:eastAsiaTheme="majorEastAsia" w:hAnsiTheme="majorHAnsi"/>
      <w:b/>
      <w:bCs/>
      <w:i/>
      <w:iCs/>
      <w:color w:themeColor="accent1" w:val="4F81BD"/>
    </w:rPr>
  </w:style>
  <w:style w:styleId="XDocReport_Heading_5" w:type="paragraph">
    <w:name w:val="heading 5"/>
    <!-- <w:basedOn w:val="Normal" /> <w:next w:val="Normal" /> <w:link w:val="Titre5Car"   /> -->
    <w:uiPriority w:val="9"/>
    <w:unhideWhenUsed/>
    <w:qFormat/>
    <w:rsid w:val="005F433E"/>
    <w:pPr>
      <w:keepNext/>
      <w:keepLines/>
      <w:spacing w:after="0" w:before="200"/>
      <w:outlineLvl w:val="4"/>
    </w:pPr>
    <w:rPr>
      <w:rFonts w:asciiTheme="majorHAnsi" w:cstheme="majorBidi" w:eastAsiaTheme="majorEastAsia" w:hAnsiTheme="majorHAnsi"/>
      <w:color w:themeColor="accent1" w:themeShade="7F" w:val="243F60"/>
    </w:rPr>
  </w:style>
  <w:style w:styleId="XDocReport_Heading_6" w:type="paragraph">
    <w:name w:val="heading 6"/>
    <!-- <w:basedOn w:val="Normal" /> <w:next w:val="Normal" /> <w:link w:val="Titre6Car" /> -->
    <w:uiPriority w:val="9"/>
    <w:unhideWhenUsed/>
    <w:qFormat/>
    <w:rsid w:val="005F433E"/>
    <w:pPr>
      <w:keepNext/>
      <w:keepLines/>
      <w:spacing w:after="0" w:before="200"/>
      <w:outlineLvl w:val="5"/>
    </w:pPr>
    <w:rPr>
      <w:rFonts w:asciiTheme="majorHAnsi" w:cstheme="majorBidi" w:eastAsiaTheme="majorEastAsia" w:hAnsiTheme="majorHAnsi"/>
      <w:i/>
      <w:iCs/>
      <w:color w:themeColor="accent1" w:themeShade="7F" w:val="243F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159595">
      <w:bodyDiv w:val="1"/>
      <w:marLeft w:val="0"/>
      <w:marRight w:val="0"/>
      <w:marTop w:val="0"/>
      <w:marBottom w:val="0"/>
      <w:divBdr>
        <w:top w:val="none" w:sz="0" w:space="0" w:color="auto"/>
        <w:left w:val="none" w:sz="0" w:space="0" w:color="auto"/>
        <w:bottom w:val="none" w:sz="0" w:space="0" w:color="auto"/>
        <w:right w:val="none" w:sz="0" w:space="0" w:color="auto"/>
      </w:divBdr>
    </w:div>
    <w:div w:id="375928939">
      <w:bodyDiv w:val="1"/>
      <w:marLeft w:val="0"/>
      <w:marRight w:val="0"/>
      <w:marTop w:val="0"/>
      <w:marBottom w:val="0"/>
      <w:divBdr>
        <w:top w:val="none" w:sz="0" w:space="0" w:color="auto"/>
        <w:left w:val="none" w:sz="0" w:space="0" w:color="auto"/>
        <w:bottom w:val="none" w:sz="0" w:space="0" w:color="auto"/>
        <w:right w:val="none" w:sz="0" w:space="0" w:color="auto"/>
      </w:divBdr>
    </w:div>
    <w:div w:id="1194727163">
      <w:bodyDiv w:val="1"/>
      <w:marLeft w:val="0"/>
      <w:marRight w:val="0"/>
      <w:marTop w:val="0"/>
      <w:marBottom w:val="0"/>
      <w:divBdr>
        <w:top w:val="none" w:sz="0" w:space="0" w:color="auto"/>
        <w:left w:val="none" w:sz="0" w:space="0" w:color="auto"/>
        <w:bottom w:val="none" w:sz="0" w:space="0" w:color="auto"/>
        <w:right w:val="none" w:sz="0" w:space="0" w:color="auto"/>
      </w:divBdr>
    </w:div>
    <w:div w:id="1843010255">
      <w:bodyDiv w:val="1"/>
      <w:marLeft w:val="0"/>
      <w:marRight w:val="0"/>
      <w:marTop w:val="0"/>
      <w:marBottom w:val="0"/>
      <w:divBdr>
        <w:top w:val="none" w:sz="0" w:space="0" w:color="auto"/>
        <w:left w:val="none" w:sz="0" w:space="0" w:color="auto"/>
        <w:bottom w:val="none" w:sz="0" w:space="0" w:color="auto"/>
        <w:right w:val="none" w:sz="0" w:space="0" w:color="auto"/>
      </w:divBdr>
    </w:div>
    <w:div w:id="1849053516">
      <w:bodyDiv w:val="1"/>
      <w:marLeft w:val="0"/>
      <w:marRight w:val="0"/>
      <w:marTop w:val="0"/>
      <w:marBottom w:val="0"/>
      <w:divBdr>
        <w:top w:val="none" w:sz="0" w:space="0" w:color="auto"/>
        <w:left w:val="none" w:sz="0" w:space="0" w:color="auto"/>
        <w:bottom w:val="none" w:sz="0" w:space="0" w:color="auto"/>
        <w:right w:val="none" w:sz="0" w:space="0" w:color="auto"/>
      </w:divBdr>
    </w:div>
    <w:div w:id="188405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footer1.xml" Type="http://schemas.openxmlformats.org/officeDocument/2006/relationships/footer"/>
<Relationship Id="rId11" Target="fontTable.xml" Type="http://schemas.openxmlformats.org/officeDocument/2006/relationships/fontTable"/>
<Relationship Id="rId12"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media/image1.gif" Type="http://schemas.openxmlformats.org/officeDocument/2006/relationships/image"/>
<Relationship Id="rId9" Target="header1.xml" Type="http://schemas.openxmlformats.org/officeDocument/2006/relationships/header"/>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2CFBB-EF4E-4D47-8958-E944E7DA6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1739</Words>
  <Characters>13187</Characters>
  <Application>Microsoft Office Word</Application>
  <DocSecurity>0</DocSecurity>
  <Lines>599</Lines>
  <Paragraphs>298</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14628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2016-01-05T16:51:00Z</dcterms:created>
  <dcterms:modified xsi:type="dcterms:W3CDTF">2021-04-19T12:16:00Z</dcterms:modified>
  <cp:revision>1</cp:revision>
</cp:coreProperties>
</file>