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4A5C309C"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 xml:space="preserve">Rámcová dohoda č. </w:t>
      </w:r>
      <w:r w:rsidR="00F62CB3" w:rsidRPr="00F62CB3">
        <w:rPr>
          <w:rFonts w:ascii="Arial Narrow" w:hAnsi="Arial Narrow"/>
          <w:b/>
          <w:bCs/>
          <w:sz w:val="28"/>
          <w:szCs w:val="28"/>
        </w:rPr>
        <w:t>SVO-RVO2-</w:t>
      </w:r>
      <w:r w:rsidR="00D2673F">
        <w:rPr>
          <w:rFonts w:ascii="Arial Narrow" w:hAnsi="Arial Narrow"/>
          <w:b/>
          <w:bCs/>
          <w:sz w:val="28"/>
          <w:szCs w:val="28"/>
        </w:rPr>
        <w:t>2025/.................</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55329">
        <w:tc>
          <w:tcPr>
            <w:tcW w:w="2660" w:type="dxa"/>
            <w:shd w:val="clear" w:color="auto" w:fill="auto"/>
          </w:tcPr>
          <w:p w14:paraId="01680D76"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55329">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55329">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55329">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55329">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55329">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55329">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55329">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55329">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55329">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55329">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55329">
        <w:tc>
          <w:tcPr>
            <w:tcW w:w="2802" w:type="dxa"/>
            <w:shd w:val="clear" w:color="auto" w:fill="auto"/>
          </w:tcPr>
          <w:p w14:paraId="4C1CC3D8" w14:textId="77777777" w:rsidR="00EF7463" w:rsidRPr="00C677FE" w:rsidRDefault="00EF7463"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55329">
        <w:tc>
          <w:tcPr>
            <w:tcW w:w="2802" w:type="dxa"/>
            <w:shd w:val="clear" w:color="auto" w:fill="auto"/>
          </w:tcPr>
          <w:p w14:paraId="6435285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55329">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55329">
        <w:tc>
          <w:tcPr>
            <w:tcW w:w="2802" w:type="dxa"/>
            <w:shd w:val="clear" w:color="auto" w:fill="auto"/>
          </w:tcPr>
          <w:p w14:paraId="3BAC87D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55329">
        <w:tc>
          <w:tcPr>
            <w:tcW w:w="2802" w:type="dxa"/>
            <w:shd w:val="clear" w:color="auto" w:fill="auto"/>
          </w:tcPr>
          <w:p w14:paraId="1C9611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55329">
        <w:tc>
          <w:tcPr>
            <w:tcW w:w="2802" w:type="dxa"/>
            <w:shd w:val="clear" w:color="auto" w:fill="auto"/>
          </w:tcPr>
          <w:p w14:paraId="13353D8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55329">
        <w:tc>
          <w:tcPr>
            <w:tcW w:w="2802" w:type="dxa"/>
            <w:shd w:val="clear" w:color="auto" w:fill="auto"/>
          </w:tcPr>
          <w:p w14:paraId="106729E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55329">
        <w:tc>
          <w:tcPr>
            <w:tcW w:w="2802" w:type="dxa"/>
            <w:shd w:val="clear" w:color="auto" w:fill="auto"/>
          </w:tcPr>
          <w:p w14:paraId="14BA358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55329">
        <w:tc>
          <w:tcPr>
            <w:tcW w:w="2802" w:type="dxa"/>
            <w:shd w:val="clear" w:color="auto" w:fill="auto"/>
          </w:tcPr>
          <w:p w14:paraId="47DF57EF" w14:textId="1F0A867A"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55329">
        <w:tc>
          <w:tcPr>
            <w:tcW w:w="2802" w:type="dxa"/>
            <w:shd w:val="clear" w:color="auto" w:fill="auto"/>
          </w:tcPr>
          <w:p w14:paraId="4DFC9A89" w14:textId="179143EB"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55329">
        <w:tc>
          <w:tcPr>
            <w:tcW w:w="2802" w:type="dxa"/>
            <w:shd w:val="clear" w:color="auto" w:fill="auto"/>
          </w:tcPr>
          <w:p w14:paraId="2A73AD9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55329">
        <w:tc>
          <w:tcPr>
            <w:tcW w:w="2802" w:type="dxa"/>
            <w:shd w:val="clear" w:color="auto" w:fill="auto"/>
          </w:tcPr>
          <w:p w14:paraId="51712380"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55329">
        <w:tc>
          <w:tcPr>
            <w:tcW w:w="2802" w:type="dxa"/>
            <w:shd w:val="clear" w:color="auto" w:fill="auto"/>
          </w:tcPr>
          <w:p w14:paraId="13846298"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55329">
        <w:tc>
          <w:tcPr>
            <w:tcW w:w="2802" w:type="dxa"/>
            <w:shd w:val="clear" w:color="auto" w:fill="auto"/>
          </w:tcPr>
          <w:p w14:paraId="14550CB4"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55329">
        <w:tc>
          <w:tcPr>
            <w:tcW w:w="2802" w:type="dxa"/>
            <w:shd w:val="clear" w:color="auto" w:fill="auto"/>
          </w:tcPr>
          <w:p w14:paraId="655BB273" w14:textId="77777777" w:rsidR="00EF7463" w:rsidRPr="00C677FE" w:rsidRDefault="00EF7463"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1E687411" w:rsidR="00BB0691" w:rsidRPr="00BB0691" w:rsidRDefault="00BB0691" w:rsidP="00D2673F">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D2673F" w:rsidRPr="00D2673F">
        <w:rPr>
          <w:rFonts w:ascii="Arial Narrow" w:hAnsi="Arial Narrow"/>
          <w:sz w:val="22"/>
          <w:szCs w:val="22"/>
          <w:lang w:val="sk-SK"/>
        </w:rPr>
        <w:t xml:space="preserve">Nákup terénnych automobilov značky </w:t>
      </w:r>
      <w:proofErr w:type="spellStart"/>
      <w:r w:rsidR="00D2673F" w:rsidRPr="00D2673F">
        <w:rPr>
          <w:rFonts w:ascii="Arial Narrow" w:hAnsi="Arial Narrow"/>
          <w:sz w:val="22"/>
          <w:szCs w:val="22"/>
          <w:lang w:val="sk-SK"/>
        </w:rPr>
        <w:t>pick-up</w:t>
      </w:r>
      <w:proofErr w:type="spellEnd"/>
      <w:r w:rsidR="00D2673F" w:rsidRPr="00D2673F">
        <w:rPr>
          <w:rFonts w:ascii="Arial Narrow" w:hAnsi="Arial Narrow"/>
          <w:sz w:val="22"/>
          <w:szCs w:val="22"/>
          <w:lang w:val="sk-SK"/>
        </w:rPr>
        <w:t xml:space="preserve"> 4x4 </w:t>
      </w:r>
      <w:proofErr w:type="spellStart"/>
      <w:r w:rsidR="00D2673F" w:rsidRPr="00D2673F">
        <w:rPr>
          <w:rFonts w:ascii="Arial Narrow" w:hAnsi="Arial Narrow"/>
          <w:sz w:val="22"/>
          <w:szCs w:val="22"/>
          <w:lang w:val="sk-SK"/>
        </w:rPr>
        <w:t>double</w:t>
      </w:r>
      <w:proofErr w:type="spellEnd"/>
      <w:r w:rsidR="00D2673F" w:rsidRPr="00D2673F">
        <w:rPr>
          <w:rFonts w:ascii="Arial Narrow" w:hAnsi="Arial Narrow"/>
          <w:sz w:val="22"/>
          <w:szCs w:val="22"/>
          <w:lang w:val="sk-SK"/>
        </w:rPr>
        <w:t xml:space="preserve"> </w:t>
      </w:r>
      <w:proofErr w:type="spellStart"/>
      <w:r w:rsidR="00D2673F" w:rsidRPr="00D2673F">
        <w:rPr>
          <w:rFonts w:ascii="Arial Narrow" w:hAnsi="Arial Narrow"/>
          <w:sz w:val="22"/>
          <w:szCs w:val="22"/>
          <w:lang w:val="sk-SK"/>
        </w:rPr>
        <w:t>cab</w:t>
      </w:r>
      <w:proofErr w:type="spellEnd"/>
      <w:r w:rsidR="00D2673F" w:rsidRPr="00D2673F">
        <w:rPr>
          <w:rFonts w:ascii="Arial Narrow" w:hAnsi="Arial Narrow"/>
          <w:sz w:val="22"/>
          <w:szCs w:val="22"/>
          <w:lang w:val="sk-SK"/>
        </w:rPr>
        <w:t xml:space="preserve"> v počte </w:t>
      </w:r>
      <w:r w:rsidR="00494FD5">
        <w:rPr>
          <w:rFonts w:ascii="Arial Narrow" w:hAnsi="Arial Narrow"/>
          <w:sz w:val="22"/>
          <w:szCs w:val="22"/>
          <w:lang w:val="sk-SK"/>
        </w:rPr>
        <w:t>120</w:t>
      </w:r>
      <w:r w:rsidR="00D2673F" w:rsidRPr="00D2673F">
        <w:rPr>
          <w:rFonts w:ascii="Arial Narrow" w:hAnsi="Arial Narrow"/>
          <w:sz w:val="22"/>
          <w:szCs w:val="22"/>
          <w:lang w:val="sk-SK"/>
        </w:rPr>
        <w:t xml:space="preserve"> ks</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8E3EF9">
        <w:rPr>
          <w:rFonts w:ascii="Arial Narrow" w:hAnsi="Arial Narrow"/>
          <w:sz w:val="22"/>
          <w:szCs w:val="22"/>
          <w:lang w:val="sk-SK"/>
        </w:rPr>
        <w:t>6</w:t>
      </w:r>
      <w:r w:rsidR="00D2673F">
        <w:rPr>
          <w:rFonts w:ascii="Arial Narrow" w:hAnsi="Arial Narrow"/>
          <w:sz w:val="22"/>
          <w:szCs w:val="22"/>
          <w:lang w:val="sk-SK"/>
        </w:rPr>
        <w:t>5</w:t>
      </w:r>
      <w:r w:rsidR="00494FD5">
        <w:rPr>
          <w:rFonts w:ascii="Arial Narrow" w:hAnsi="Arial Narrow"/>
          <w:sz w:val="22"/>
          <w:szCs w:val="22"/>
          <w:lang w:val="sk-SK"/>
        </w:rPr>
        <w:t>955</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58BE9B77"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D2673F">
        <w:rPr>
          <w:rFonts w:ascii="Arial Narrow" w:hAnsi="Arial Narrow"/>
          <w:sz w:val="22"/>
          <w:szCs w:val="22"/>
          <w:highlight w:val="yellow"/>
          <w:lang w:val="sk-SK"/>
        </w:rPr>
        <w:t xml:space="preserve">210 </w:t>
      </w:r>
      <w:r w:rsidR="00FF3D4F" w:rsidRPr="008E3EF9">
        <w:rPr>
          <w:rFonts w:ascii="Arial Narrow" w:hAnsi="Arial Narrow"/>
          <w:sz w:val="22"/>
          <w:szCs w:val="22"/>
          <w:highlight w:val="yellow"/>
          <w:lang w:val="sk-SK"/>
        </w:rPr>
        <w:t>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3D4AE760"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 xml:space="preserve">Dohoda sa uzatvára na dobu určitú, a to na </w:t>
      </w:r>
      <w:r w:rsidR="008E3EF9">
        <w:rPr>
          <w:rFonts w:ascii="Arial Narrow" w:hAnsi="Arial Narrow"/>
          <w:sz w:val="22"/>
          <w:szCs w:val="22"/>
          <w:lang w:val="sk-SK"/>
        </w:rPr>
        <w:t>12</w:t>
      </w:r>
      <w:r w:rsidRPr="00BB0691">
        <w:rPr>
          <w:rFonts w:ascii="Arial Narrow" w:hAnsi="Arial Narrow"/>
          <w:sz w:val="22"/>
          <w:szCs w:val="22"/>
          <w:lang w:val="sk-SK"/>
        </w:rPr>
        <w:t xml:space="preserve">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Zmluvnej </w:t>
      </w:r>
      <w:r w:rsidRPr="00CE1AC4">
        <w:rPr>
          <w:rFonts w:ascii="Arial Narrow" w:hAnsi="Arial Narrow"/>
          <w:sz w:val="22"/>
          <w:szCs w:val="22"/>
          <w:lang w:val="sk-SK"/>
        </w:rPr>
        <w:lastRenderedPageBreak/>
        <w:t>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1B424C39" w14:textId="20B78ABD" w:rsidR="002537BD" w:rsidRPr="00D2673F" w:rsidRDefault="00D8561A" w:rsidP="00D2673F">
      <w:pPr>
        <w:rPr>
          <w:rFonts w:ascii="Arial Narrow" w:hAnsi="Arial Narrow"/>
          <w:sz w:val="22"/>
          <w:szCs w:val="22"/>
        </w:rPr>
      </w:pPr>
      <w:r w:rsidRPr="00D2673F">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2A48AADC"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w:t>
      </w:r>
      <w:r w:rsidR="0039217F">
        <w:rPr>
          <w:rFonts w:ascii="Arial Narrow" w:hAnsi="Arial Narrow"/>
          <w:sz w:val="22"/>
          <w:szCs w:val="22"/>
          <w:lang w:val="sk-SK"/>
        </w:rPr>
        <w:t>4</w:t>
      </w:r>
      <w:r w:rsidRPr="00AF02D1">
        <w:rPr>
          <w:rFonts w:ascii="Arial Narrow" w:hAnsi="Arial Narrow"/>
          <w:sz w:val="22"/>
          <w:szCs w:val="22"/>
        </w:rPr>
        <w:t>) vyhotoveniach s platnosťou originálu, pričom Predávajúci obdrží dve (2) v</w:t>
      </w:r>
      <w:r w:rsidR="0039217F">
        <w:rPr>
          <w:rFonts w:ascii="Arial Narrow" w:hAnsi="Arial Narrow"/>
          <w:sz w:val="22"/>
          <w:szCs w:val="22"/>
        </w:rPr>
        <w:t>yhotovenia a Kupujúci obdrží dve (2</w:t>
      </w:r>
      <w:r w:rsidRPr="00AF02D1">
        <w:rPr>
          <w:rFonts w:ascii="Arial Narrow" w:hAnsi="Arial Narrow"/>
          <w:sz w:val="22"/>
          <w:szCs w:val="22"/>
        </w:rPr>
        <w:t>)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555329">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555329">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555329">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555329">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555329">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555329">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2622FAF1" w:rsidR="00CF559B" w:rsidRPr="002450C6" w:rsidRDefault="00CF559B" w:rsidP="00F62CB3">
      <w:pPr>
        <w:pStyle w:val="Odsekzoznamu"/>
        <w:numPr>
          <w:ilvl w:val="1"/>
          <w:numId w:val="69"/>
        </w:numPr>
        <w:tabs>
          <w:tab w:val="clear" w:pos="1304"/>
          <w:tab w:val="clear" w:pos="2160"/>
          <w:tab w:val="clear" w:pos="2880"/>
          <w:tab w:val="clear" w:pos="4500"/>
          <w:tab w:val="num" w:pos="993"/>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SVO-RVO2-2024/000</w:t>
      </w:r>
      <w:r w:rsidR="008E3EF9">
        <w:rPr>
          <w:rFonts w:ascii="Arial Narrow" w:hAnsi="Arial Narrow"/>
          <w:sz w:val="22"/>
          <w:szCs w:val="22"/>
          <w:lang w:val="sk-SK"/>
        </w:rPr>
        <w:t>953</w:t>
      </w:r>
      <w:r w:rsidRPr="00CF559B">
        <w:rPr>
          <w:rFonts w:ascii="Arial Narrow" w:hAnsi="Arial Narrow"/>
          <w:sz w:val="22"/>
          <w:szCs w:val="22"/>
          <w:lang w:val="sk-SK"/>
        </w:rPr>
        <w:t xml:space="preserve">, ktorá je výsledkom konkrétnej zákazky na predmet </w:t>
      </w:r>
      <w:r w:rsidR="00DF1DD4">
        <w:rPr>
          <w:rFonts w:ascii="Arial Narrow" w:hAnsi="Arial Narrow"/>
          <w:sz w:val="22"/>
          <w:szCs w:val="22"/>
          <w:lang w:val="sk-SK"/>
        </w:rPr>
        <w:t>„</w:t>
      </w:r>
      <w:r w:rsidR="00C12976" w:rsidRPr="00D2673F">
        <w:rPr>
          <w:rFonts w:ascii="Arial Narrow" w:hAnsi="Arial Narrow"/>
          <w:sz w:val="22"/>
          <w:szCs w:val="22"/>
          <w:lang w:val="sk-SK"/>
        </w:rPr>
        <w:t xml:space="preserve">Nákup terénnych automobilov značky </w:t>
      </w:r>
      <w:proofErr w:type="spellStart"/>
      <w:r w:rsidR="00C12976" w:rsidRPr="00D2673F">
        <w:rPr>
          <w:rFonts w:ascii="Arial Narrow" w:hAnsi="Arial Narrow"/>
          <w:sz w:val="22"/>
          <w:szCs w:val="22"/>
          <w:lang w:val="sk-SK"/>
        </w:rPr>
        <w:t>pick-up</w:t>
      </w:r>
      <w:proofErr w:type="spellEnd"/>
      <w:r w:rsidR="00C12976" w:rsidRPr="00D2673F">
        <w:rPr>
          <w:rFonts w:ascii="Arial Narrow" w:hAnsi="Arial Narrow"/>
          <w:sz w:val="22"/>
          <w:szCs w:val="22"/>
          <w:lang w:val="sk-SK"/>
        </w:rPr>
        <w:t xml:space="preserve"> 4x4 </w:t>
      </w:r>
      <w:proofErr w:type="spellStart"/>
      <w:r w:rsidR="00C12976" w:rsidRPr="00D2673F">
        <w:rPr>
          <w:rFonts w:ascii="Arial Narrow" w:hAnsi="Arial Narrow"/>
          <w:sz w:val="22"/>
          <w:szCs w:val="22"/>
          <w:lang w:val="sk-SK"/>
        </w:rPr>
        <w:t>double</w:t>
      </w:r>
      <w:proofErr w:type="spellEnd"/>
      <w:r w:rsidR="00C12976" w:rsidRPr="00D2673F">
        <w:rPr>
          <w:rFonts w:ascii="Arial Narrow" w:hAnsi="Arial Narrow"/>
          <w:sz w:val="22"/>
          <w:szCs w:val="22"/>
          <w:lang w:val="sk-SK"/>
        </w:rPr>
        <w:t xml:space="preserve"> </w:t>
      </w:r>
      <w:proofErr w:type="spellStart"/>
      <w:r w:rsidR="00C12976" w:rsidRPr="00D2673F">
        <w:rPr>
          <w:rFonts w:ascii="Arial Narrow" w:hAnsi="Arial Narrow"/>
          <w:sz w:val="22"/>
          <w:szCs w:val="22"/>
          <w:lang w:val="sk-SK"/>
        </w:rPr>
        <w:t>cab</w:t>
      </w:r>
      <w:proofErr w:type="spellEnd"/>
      <w:r w:rsidR="00C12976" w:rsidRPr="00D2673F">
        <w:rPr>
          <w:rFonts w:ascii="Arial Narrow" w:hAnsi="Arial Narrow"/>
          <w:sz w:val="22"/>
          <w:szCs w:val="22"/>
          <w:lang w:val="sk-SK"/>
        </w:rPr>
        <w:t xml:space="preserve"> v počte </w:t>
      </w:r>
      <w:r w:rsidR="00494FD5">
        <w:rPr>
          <w:rFonts w:ascii="Arial Narrow" w:hAnsi="Arial Narrow"/>
          <w:sz w:val="22"/>
          <w:szCs w:val="22"/>
          <w:lang w:val="sk-SK"/>
        </w:rPr>
        <w:t>120</w:t>
      </w:r>
      <w:r w:rsidR="00C12976" w:rsidRPr="00D2673F">
        <w:rPr>
          <w:rFonts w:ascii="Arial Narrow" w:hAnsi="Arial Narrow"/>
          <w:sz w:val="22"/>
          <w:szCs w:val="22"/>
          <w:lang w:val="sk-SK"/>
        </w:rPr>
        <w:t xml:space="preserve"> ks</w:t>
      </w:r>
      <w:r w:rsidR="00C12976">
        <w:rPr>
          <w:rFonts w:ascii="Arial Narrow" w:hAnsi="Arial Narrow"/>
          <w:sz w:val="22"/>
          <w:szCs w:val="22"/>
          <w:lang w:val="sk-SK"/>
        </w:rPr>
        <w:t>“</w:t>
      </w:r>
      <w:r w:rsidR="00C12976" w:rsidRPr="00BB0691">
        <w:rPr>
          <w:rFonts w:ascii="Arial Narrow" w:hAnsi="Arial Narrow"/>
          <w:sz w:val="22"/>
          <w:szCs w:val="22"/>
        </w:rPr>
        <w:t xml:space="preserve"> </w:t>
      </w:r>
      <w:r w:rsidR="00C12976">
        <w:rPr>
          <w:rFonts w:ascii="Arial Narrow" w:hAnsi="Arial Narrow"/>
          <w:sz w:val="22"/>
          <w:szCs w:val="22"/>
          <w:lang w:val="sk-SK"/>
        </w:rPr>
        <w:t>(ID JOSEPHINE 65</w:t>
      </w:r>
      <w:r w:rsidR="00494FD5">
        <w:rPr>
          <w:rFonts w:ascii="Arial Narrow" w:hAnsi="Arial Narrow"/>
          <w:sz w:val="22"/>
          <w:szCs w:val="22"/>
          <w:lang w:val="sk-SK"/>
        </w:rPr>
        <w:t>955</w:t>
      </w:r>
      <w:r w:rsidR="00DF1DD4">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27EC0AA2"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C12976">
        <w:rPr>
          <w:rFonts w:ascii="Arial Narrow" w:hAnsi="Arial Narrow"/>
          <w:sz w:val="22"/>
          <w:szCs w:val="22"/>
          <w:highlight w:val="yellow"/>
          <w:lang w:val="sk-SK"/>
        </w:rPr>
        <w:t xml:space="preserve">210 </w:t>
      </w:r>
      <w:r w:rsidRPr="006948C5">
        <w:rPr>
          <w:rFonts w:ascii="Arial Narrow" w:hAnsi="Arial Narrow"/>
          <w:sz w:val="22"/>
          <w:szCs w:val="22"/>
          <w:highlight w:val="yellow"/>
          <w:lang w:val="sk-SK"/>
        </w:rPr>
        <w:t>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1"/>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385"/>
      <w:r w:rsidRPr="00C677FE">
        <w:rPr>
          <w:rFonts w:ascii="Arial Narrow" w:hAnsi="Arial Narrow"/>
          <w:sz w:val="22"/>
          <w:szCs w:val="22"/>
        </w:rPr>
        <w:t>Deň dodania predmetu zmluvy písomne alebo elektronicky oznámi predávajúci kupujúcemu najneskôr dva (2) pracovné dni vopred.</w:t>
      </w:r>
      <w:bookmarkEnd w:id="2"/>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3"/>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5"/>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5342"/>
      <w:r w:rsidRPr="00C677FE">
        <w:rPr>
          <w:rFonts w:ascii="Arial Narrow" w:hAnsi="Arial Narrow"/>
          <w:sz w:val="22"/>
          <w:szCs w:val="22"/>
        </w:rPr>
        <w:lastRenderedPageBreak/>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6"/>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121D1C8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7"/>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393B62B0"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8"/>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lastRenderedPageBreak/>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31897791"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62B25E35" w:rsidR="00CF559B" w:rsidRPr="00C677FE" w:rsidRDefault="005903A7" w:rsidP="005903A7">
      <w:pPr>
        <w:pStyle w:val="Odsekzoznamu"/>
        <w:numPr>
          <w:ilvl w:val="2"/>
          <w:numId w:val="69"/>
        </w:numPr>
        <w:tabs>
          <w:tab w:val="clear" w:pos="2160"/>
          <w:tab w:val="clear" w:pos="2880"/>
          <w:tab w:val="clear" w:pos="4500"/>
        </w:tabs>
        <w:jc w:val="both"/>
        <w:rPr>
          <w:rFonts w:ascii="Arial Narrow" w:hAnsi="Arial Narrow"/>
          <w:sz w:val="22"/>
          <w:szCs w:val="22"/>
        </w:rPr>
      </w:pPr>
      <w:bookmarkStart w:id="9" w:name="_Hlk196399514"/>
      <w:r w:rsidRPr="005903A7">
        <w:rPr>
          <w:rFonts w:ascii="Arial Narrow" w:hAnsi="Arial Narrow"/>
          <w:sz w:val="22"/>
          <w:szCs w:val="22"/>
          <w:lang w:val="sk-SK"/>
        </w:rPr>
        <w:t>za omeškanie predávajúceho s dodaním predmetu zmluvy v lehote bodu 4.5 tejto zmluvy, vrátane dohodnutej príslušnej dokumentácie, je kupujúci oprávnený uplatniť si voči predávajúcemu zmluvnú pokutu vo výške 0,05 % z ceny časti omeškaného predmetu zmluvy za každý aj začatý deň omeškania,</w:t>
      </w:r>
      <w:bookmarkStart w:id="10" w:name="_GoBack"/>
      <w:bookmarkEnd w:id="10"/>
    </w:p>
    <w:bookmarkEnd w:id="9"/>
    <w:p w14:paraId="2AAD2149" w14:textId="56282480"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6203C70"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D2673F">
      <w:headerReference w:type="first" r:id="rId8"/>
      <w:pgSz w:w="11906" w:h="16838"/>
      <w:pgMar w:top="993"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35A7A" w14:textId="77777777" w:rsidR="002451FB" w:rsidRDefault="002451FB" w:rsidP="006E6235">
      <w:r>
        <w:separator/>
      </w:r>
    </w:p>
  </w:endnote>
  <w:endnote w:type="continuationSeparator" w:id="0">
    <w:p w14:paraId="1D16305E" w14:textId="77777777" w:rsidR="002451FB" w:rsidRDefault="002451FB"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7AB7F" w14:textId="77777777" w:rsidR="002451FB" w:rsidRDefault="002451FB" w:rsidP="006E6235">
      <w:r>
        <w:separator/>
      </w:r>
    </w:p>
  </w:footnote>
  <w:footnote w:type="continuationSeparator" w:id="0">
    <w:p w14:paraId="170DEC3F" w14:textId="77777777" w:rsidR="002451FB" w:rsidRDefault="002451FB"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2DAE4514" w:rsidR="00555329" w:rsidRPr="00762262" w:rsidRDefault="00555329"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555329" w:rsidRPr="00762262" w:rsidRDefault="00555329"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555329" w:rsidRPr="0043453C" w:rsidRDefault="00555329"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1BF"/>
    <w:rsid w:val="0000767C"/>
    <w:rsid w:val="000169E9"/>
    <w:rsid w:val="000173AD"/>
    <w:rsid w:val="00022909"/>
    <w:rsid w:val="000467CF"/>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22E5A"/>
    <w:rsid w:val="0023320D"/>
    <w:rsid w:val="00241249"/>
    <w:rsid w:val="002450C6"/>
    <w:rsid w:val="002451FB"/>
    <w:rsid w:val="002453CD"/>
    <w:rsid w:val="002475B0"/>
    <w:rsid w:val="002537BD"/>
    <w:rsid w:val="00253854"/>
    <w:rsid w:val="00254201"/>
    <w:rsid w:val="002761BF"/>
    <w:rsid w:val="00277D16"/>
    <w:rsid w:val="0028613F"/>
    <w:rsid w:val="00287E51"/>
    <w:rsid w:val="00291C1B"/>
    <w:rsid w:val="002A05ED"/>
    <w:rsid w:val="002B3C9A"/>
    <w:rsid w:val="002C06E7"/>
    <w:rsid w:val="002C3622"/>
    <w:rsid w:val="002C424A"/>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94FD5"/>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5329"/>
    <w:rsid w:val="005578AC"/>
    <w:rsid w:val="00560F6C"/>
    <w:rsid w:val="005626C9"/>
    <w:rsid w:val="00564234"/>
    <w:rsid w:val="00564EC5"/>
    <w:rsid w:val="00565125"/>
    <w:rsid w:val="00572F37"/>
    <w:rsid w:val="0057573C"/>
    <w:rsid w:val="00576181"/>
    <w:rsid w:val="00582DCF"/>
    <w:rsid w:val="00584A7D"/>
    <w:rsid w:val="005903A7"/>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948C5"/>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3EF9"/>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2976"/>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2673F"/>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8EADE-4F11-4283-9447-22185DE5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5554</Words>
  <Characters>31662</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2</cp:revision>
  <cp:lastPrinted>2020-09-23T13:30:00Z</cp:lastPrinted>
  <dcterms:created xsi:type="dcterms:W3CDTF">2025-04-25T11:27:00Z</dcterms:created>
  <dcterms:modified xsi:type="dcterms:W3CDTF">2025-04-25T11:27:00Z</dcterms:modified>
</cp:coreProperties>
</file>