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7140CF55"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7544772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w:t>
      </w:r>
      <w:r w:rsidR="000A55DE">
        <w:rPr>
          <w:rFonts w:cstheme="minorHAnsi"/>
          <w:sz w:val="24"/>
          <w:szCs w:val="24"/>
        </w:rPr>
        <w:t>5</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09A4E26" w14:textId="77777777" w:rsidR="008F1379"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p>
    <w:p w14:paraId="099980C5" w14:textId="74FFE1A6" w:rsidR="000A55DE" w:rsidRPr="000A55DE" w:rsidRDefault="000A55DE" w:rsidP="000A55DE">
      <w:pPr>
        <w:pStyle w:val="Akapitzlist"/>
        <w:rPr>
          <w:rFonts w:cs="Arial"/>
          <w:b/>
          <w:bCs/>
          <w:lang w:eastAsia="ar-SA"/>
        </w:rPr>
      </w:pPr>
      <w:r>
        <w:rPr>
          <w:rFonts w:cstheme="minorHAnsi"/>
          <w:b/>
          <w:sz w:val="24"/>
          <w:szCs w:val="24"/>
        </w:rPr>
        <w:t xml:space="preserve">            </w:t>
      </w:r>
      <w:r w:rsidRPr="000A55DE">
        <w:rPr>
          <w:rFonts w:cstheme="minorHAnsi"/>
          <w:b/>
          <w:sz w:val="24"/>
          <w:szCs w:val="24"/>
        </w:rPr>
        <w:t>„Przebudowa dojazdu pożarowego nr 35 w leśnictwie Kotlarnia”</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1CF2FC79"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w:t>
      </w:r>
      <w:r w:rsidR="007202B9">
        <w:rPr>
          <w:rFonts w:cstheme="minorHAnsi"/>
          <w:b/>
          <w:sz w:val="24"/>
          <w:szCs w:val="24"/>
        </w:rPr>
        <w: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563AE7D2" w:rsidR="00E56B78" w:rsidRDefault="00E56B78" w:rsidP="00E56B78">
      <w:pPr>
        <w:pStyle w:val="Akapitzlist"/>
        <w:ind w:left="426"/>
        <w:jc w:val="both"/>
        <w:rPr>
          <w:rFonts w:cstheme="minorHAnsi"/>
          <w:sz w:val="24"/>
          <w:szCs w:val="24"/>
        </w:rPr>
      </w:pPr>
      <w:r w:rsidRPr="00E56B78">
        <w:rPr>
          <w:rFonts w:cstheme="minorHAnsi"/>
          <w:b/>
          <w:sz w:val="24"/>
          <w:szCs w:val="24"/>
        </w:rPr>
        <w:t>kwota netto:</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2CDC5A20" w:rsidR="00E56B78" w:rsidRPr="00E56B78" w:rsidRDefault="00E56B78" w:rsidP="00E56B78">
      <w:pPr>
        <w:pStyle w:val="Akapitzlist"/>
        <w:ind w:left="426"/>
        <w:jc w:val="both"/>
        <w:rPr>
          <w:rFonts w:cstheme="minorHAnsi"/>
          <w:sz w:val="24"/>
          <w:szCs w:val="24"/>
        </w:rPr>
      </w:pPr>
      <w:r>
        <w:rPr>
          <w:rFonts w:cstheme="minorHAnsi"/>
          <w:b/>
          <w:sz w:val="24"/>
          <w:szCs w:val="24"/>
        </w:rPr>
        <w:t>Vat:</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5E471461"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A13B22">
        <w:rPr>
          <w:rFonts w:cstheme="minorHAnsi"/>
          <w:sz w:val="24"/>
          <w:szCs w:val="24"/>
        </w:rPr>
        <w:t>500 000,00 zł.</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w:t>
      </w:r>
      <w:r w:rsidRPr="002D2FEB">
        <w:rPr>
          <w:rFonts w:cstheme="minorHAnsi"/>
          <w:sz w:val="24"/>
          <w:szCs w:val="24"/>
        </w:rPr>
        <w:lastRenderedPageBreak/>
        <w:t xml:space="preserve">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8D6F669"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9F710F">
        <w:rPr>
          <w:rFonts w:cstheme="minorHAnsi"/>
          <w:sz w:val="24"/>
          <w:szCs w:val="24"/>
        </w:rPr>
        <w:t xml:space="preserve"> – </w:t>
      </w:r>
      <w:r w:rsidR="009F710F" w:rsidRPr="000A55DE">
        <w:rPr>
          <w:rFonts w:cstheme="minorHAnsi"/>
          <w:color w:val="FF0000"/>
          <w:sz w:val="24"/>
          <w:szCs w:val="24"/>
        </w:rPr>
        <w:t>do 1</w:t>
      </w:r>
      <w:r w:rsidR="000A55DE" w:rsidRPr="000A55DE">
        <w:rPr>
          <w:rFonts w:cstheme="minorHAnsi"/>
          <w:color w:val="FF0000"/>
          <w:sz w:val="24"/>
          <w:szCs w:val="24"/>
        </w:rPr>
        <w:t>20</w:t>
      </w:r>
      <w:r w:rsidR="009F710F" w:rsidRPr="000A55DE">
        <w:rPr>
          <w:rFonts w:cstheme="minorHAnsi"/>
          <w:color w:val="FF0000"/>
          <w:sz w:val="24"/>
          <w:szCs w:val="24"/>
        </w:rPr>
        <w:t xml:space="preserve"> dni </w:t>
      </w:r>
      <w:r w:rsidR="00867C2E" w:rsidRPr="000A55DE">
        <w:rPr>
          <w:rFonts w:cstheme="minorHAnsi"/>
          <w:color w:val="FF0000"/>
          <w:sz w:val="24"/>
          <w:szCs w:val="24"/>
        </w:rPr>
        <w:t xml:space="preserve">od dnia podpisania </w:t>
      </w:r>
      <w:r w:rsidR="00CE083E" w:rsidRPr="000A55DE">
        <w:rPr>
          <w:rFonts w:cstheme="minorHAnsi"/>
          <w:color w:val="FF0000"/>
          <w:sz w:val="24"/>
          <w:szCs w:val="24"/>
        </w:rPr>
        <w:t>umowy</w:t>
      </w:r>
      <w:r w:rsidR="009F710F" w:rsidRPr="000A55DE">
        <w:rPr>
          <w:rFonts w:cstheme="minorHAnsi"/>
          <w:color w:val="FF0000"/>
          <w:sz w:val="24"/>
          <w:szCs w:val="24"/>
        </w:rPr>
        <w:t>)</w:t>
      </w:r>
      <w:r w:rsidR="00CE083E" w:rsidRPr="000A55DE">
        <w:rPr>
          <w:rFonts w:cstheme="minorHAnsi"/>
          <w:color w:val="FF0000"/>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lastRenderedPageBreak/>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01EF587" w:rsidR="008A6C50" w:rsidRPr="008F1379"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64D75A11" w:rsidR="00825F66" w:rsidRPr="00100C09" w:rsidRDefault="00751169" w:rsidP="00100C09">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2D054EA5" w14:textId="77777777" w:rsidR="00A13B22" w:rsidRDefault="00A13B22" w:rsidP="00BB0C3D">
      <w:pPr>
        <w:jc w:val="center"/>
        <w:rPr>
          <w:rFonts w:cstheme="minorHAnsi"/>
          <w:b/>
          <w:sz w:val="24"/>
          <w:szCs w:val="24"/>
        </w:rPr>
      </w:pPr>
    </w:p>
    <w:p w14:paraId="017D4E2B" w14:textId="77777777" w:rsidR="00A13B22" w:rsidRDefault="00A13B22" w:rsidP="00BB0C3D">
      <w:pPr>
        <w:jc w:val="center"/>
        <w:rPr>
          <w:rFonts w:cstheme="minorHAnsi"/>
          <w:b/>
          <w:sz w:val="24"/>
          <w:szCs w:val="24"/>
        </w:rPr>
      </w:pPr>
    </w:p>
    <w:p w14:paraId="6384BE3F" w14:textId="3FA6EA75"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3949BF97" w14:textId="77777777" w:rsidR="008F1379" w:rsidRDefault="008F1379" w:rsidP="008F1379">
      <w:pPr>
        <w:pStyle w:val="Akapitzlist"/>
        <w:spacing w:before="120" w:line="240" w:lineRule="auto"/>
        <w:ind w:left="360"/>
        <w:jc w:val="both"/>
        <w:rPr>
          <w:rFonts w:cstheme="minorHAnsi"/>
          <w:sz w:val="24"/>
          <w:szCs w:val="24"/>
        </w:rPr>
      </w:pPr>
    </w:p>
    <w:p w14:paraId="2858CF9D" w14:textId="77777777" w:rsidR="008F1379" w:rsidRDefault="008F1379" w:rsidP="008F1379">
      <w:pPr>
        <w:pStyle w:val="Akapitzlist"/>
        <w:spacing w:before="120" w:line="240" w:lineRule="auto"/>
        <w:ind w:left="360"/>
        <w:jc w:val="both"/>
        <w:rPr>
          <w:rFonts w:cstheme="minorHAnsi"/>
          <w:sz w:val="24"/>
          <w:szCs w:val="24"/>
        </w:rPr>
      </w:pPr>
    </w:p>
    <w:p w14:paraId="0C69931A" w14:textId="77777777" w:rsidR="008F1379" w:rsidRPr="002D2FEB" w:rsidRDefault="008F1379" w:rsidP="008F1379">
      <w:pPr>
        <w:pStyle w:val="Akapitzlist"/>
        <w:spacing w:before="120" w:line="240" w:lineRule="auto"/>
        <w:ind w:left="360"/>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F2FF" w14:textId="77777777" w:rsidR="00096275" w:rsidRDefault="00096275" w:rsidP="00751169">
      <w:pPr>
        <w:spacing w:after="0" w:line="240" w:lineRule="auto"/>
      </w:pPr>
      <w:r>
        <w:separator/>
      </w:r>
    </w:p>
  </w:endnote>
  <w:endnote w:type="continuationSeparator" w:id="0">
    <w:p w14:paraId="6DB720C1" w14:textId="77777777" w:rsidR="00096275" w:rsidRDefault="00096275"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30572"/>
      <w:docPartObj>
        <w:docPartGallery w:val="Page Numbers (Bottom of Page)"/>
        <w:docPartUnique/>
      </w:docPartObj>
    </w:sdtPr>
    <w:sdtContent>
      <w:p w14:paraId="3A753871" w14:textId="174B7C66" w:rsidR="003019D0" w:rsidRDefault="003019D0">
        <w:pPr>
          <w:pStyle w:val="Stopka"/>
          <w:jc w:val="center"/>
        </w:pPr>
        <w:r>
          <w:fldChar w:fldCharType="begin"/>
        </w:r>
        <w:r>
          <w:instrText>PAGE   \* MERGEFORMAT</w:instrText>
        </w:r>
        <w:r>
          <w:fldChar w:fldCharType="separate"/>
        </w:r>
        <w:r w:rsidR="009F710F">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8CAF" w14:textId="77777777" w:rsidR="00096275" w:rsidRDefault="00096275" w:rsidP="00751169">
      <w:pPr>
        <w:spacing w:after="0" w:line="240" w:lineRule="auto"/>
      </w:pPr>
      <w:r>
        <w:separator/>
      </w:r>
    </w:p>
  </w:footnote>
  <w:footnote w:type="continuationSeparator" w:id="0">
    <w:p w14:paraId="2B3C0ACD" w14:textId="77777777" w:rsidR="00096275" w:rsidRDefault="00096275"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FE20" w14:textId="0D15E473" w:rsidR="009E37CD" w:rsidRPr="002D2FEB" w:rsidRDefault="00310F40" w:rsidP="00792FDD">
    <w:pPr>
      <w:pStyle w:val="Nagwek"/>
      <w:rPr>
        <w:rFonts w:cstheme="minorHAnsi"/>
        <w:b/>
        <w:bCs/>
      </w:rPr>
    </w:pPr>
    <w:r w:rsidRPr="00A81648">
      <w:rPr>
        <w:rFonts w:cstheme="minorHAnsi"/>
        <w:b/>
        <w:bCs/>
      </w:rPr>
      <w:t>Znak sprawy:  S.270.</w:t>
    </w:r>
    <w:r w:rsidR="000A55DE">
      <w:rPr>
        <w:rFonts w:cstheme="minorHAnsi"/>
        <w:b/>
        <w:bCs/>
      </w:rPr>
      <w:t>2.2025</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493637687">
    <w:abstractNumId w:val="47"/>
  </w:num>
  <w:num w:numId="2" w16cid:durableId="988945625">
    <w:abstractNumId w:val="12"/>
  </w:num>
  <w:num w:numId="3" w16cid:durableId="1181891439">
    <w:abstractNumId w:val="38"/>
  </w:num>
  <w:num w:numId="4" w16cid:durableId="1608391658">
    <w:abstractNumId w:val="41"/>
  </w:num>
  <w:num w:numId="5" w16cid:durableId="479419340">
    <w:abstractNumId w:val="31"/>
  </w:num>
  <w:num w:numId="6" w16cid:durableId="1490053315">
    <w:abstractNumId w:val="42"/>
  </w:num>
  <w:num w:numId="7" w16cid:durableId="2118406314">
    <w:abstractNumId w:val="26"/>
  </w:num>
  <w:num w:numId="8" w16cid:durableId="1768229091">
    <w:abstractNumId w:val="13"/>
  </w:num>
  <w:num w:numId="9" w16cid:durableId="878785425">
    <w:abstractNumId w:val="19"/>
  </w:num>
  <w:num w:numId="10" w16cid:durableId="2126803211">
    <w:abstractNumId w:val="1"/>
  </w:num>
  <w:num w:numId="11" w16cid:durableId="1970086112">
    <w:abstractNumId w:val="27"/>
  </w:num>
  <w:num w:numId="12" w16cid:durableId="1204707294">
    <w:abstractNumId w:val="5"/>
  </w:num>
  <w:num w:numId="13" w16cid:durableId="1159928885">
    <w:abstractNumId w:val="40"/>
  </w:num>
  <w:num w:numId="14" w16cid:durableId="1132409013">
    <w:abstractNumId w:val="33"/>
  </w:num>
  <w:num w:numId="15" w16cid:durableId="436952159">
    <w:abstractNumId w:val="45"/>
  </w:num>
  <w:num w:numId="16" w16cid:durableId="1595361469">
    <w:abstractNumId w:val="17"/>
  </w:num>
  <w:num w:numId="17" w16cid:durableId="2095080431">
    <w:abstractNumId w:val="29"/>
  </w:num>
  <w:num w:numId="18" w16cid:durableId="809828468">
    <w:abstractNumId w:val="34"/>
  </w:num>
  <w:num w:numId="19" w16cid:durableId="800536130">
    <w:abstractNumId w:val="2"/>
  </w:num>
  <w:num w:numId="20" w16cid:durableId="1734936416">
    <w:abstractNumId w:val="3"/>
  </w:num>
  <w:num w:numId="21" w16cid:durableId="25525712">
    <w:abstractNumId w:val="8"/>
  </w:num>
  <w:num w:numId="22" w16cid:durableId="764693457">
    <w:abstractNumId w:val="28"/>
  </w:num>
  <w:num w:numId="23" w16cid:durableId="919828320">
    <w:abstractNumId w:val="37"/>
  </w:num>
  <w:num w:numId="24" w16cid:durableId="563183523">
    <w:abstractNumId w:val="9"/>
  </w:num>
  <w:num w:numId="25" w16cid:durableId="1256086375">
    <w:abstractNumId w:val="18"/>
  </w:num>
  <w:num w:numId="26" w16cid:durableId="1542935262">
    <w:abstractNumId w:val="22"/>
  </w:num>
  <w:num w:numId="27" w16cid:durableId="12536777">
    <w:abstractNumId w:val="23"/>
  </w:num>
  <w:num w:numId="28" w16cid:durableId="539323082">
    <w:abstractNumId w:val="32"/>
  </w:num>
  <w:num w:numId="29" w16cid:durableId="1020014386">
    <w:abstractNumId w:val="15"/>
  </w:num>
  <w:num w:numId="30" w16cid:durableId="2140831027">
    <w:abstractNumId w:val="10"/>
  </w:num>
  <w:num w:numId="31" w16cid:durableId="1141769224">
    <w:abstractNumId w:val="46"/>
  </w:num>
  <w:num w:numId="32" w16cid:durableId="858783895">
    <w:abstractNumId w:val="0"/>
  </w:num>
  <w:num w:numId="33" w16cid:durableId="390351260">
    <w:abstractNumId w:val="24"/>
  </w:num>
  <w:num w:numId="34" w16cid:durableId="400445920">
    <w:abstractNumId w:val="49"/>
  </w:num>
  <w:num w:numId="35" w16cid:durableId="51121489">
    <w:abstractNumId w:val="11"/>
  </w:num>
  <w:num w:numId="36" w16cid:durableId="17512916">
    <w:abstractNumId w:val="48"/>
  </w:num>
  <w:num w:numId="37" w16cid:durableId="1920164801">
    <w:abstractNumId w:val="14"/>
  </w:num>
  <w:num w:numId="38" w16cid:durableId="1376849424">
    <w:abstractNumId w:val="39"/>
  </w:num>
  <w:num w:numId="39" w16cid:durableId="241529350">
    <w:abstractNumId w:val="21"/>
  </w:num>
  <w:num w:numId="40" w16cid:durableId="743180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93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57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454586">
    <w:abstractNumId w:val="20"/>
  </w:num>
  <w:num w:numId="44" w16cid:durableId="2135562741">
    <w:abstractNumId w:val="7"/>
  </w:num>
  <w:num w:numId="45" w16cid:durableId="1967160446">
    <w:abstractNumId w:val="6"/>
  </w:num>
  <w:num w:numId="46" w16cid:durableId="1964459717">
    <w:abstractNumId w:val="36"/>
  </w:num>
  <w:num w:numId="47" w16cid:durableId="873541188">
    <w:abstractNumId w:val="16"/>
  </w:num>
  <w:num w:numId="48" w16cid:durableId="819268427">
    <w:abstractNumId w:val="35"/>
  </w:num>
  <w:num w:numId="49" w16cid:durableId="1572546798">
    <w:abstractNumId w:val="25"/>
  </w:num>
  <w:num w:numId="50" w16cid:durableId="44619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96275"/>
    <w:rsid w:val="000A55DE"/>
    <w:rsid w:val="000A7D62"/>
    <w:rsid w:val="000C73F9"/>
    <w:rsid w:val="000F21DB"/>
    <w:rsid w:val="00100C09"/>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202B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8F1379"/>
    <w:rsid w:val="009031C4"/>
    <w:rsid w:val="00967741"/>
    <w:rsid w:val="00984885"/>
    <w:rsid w:val="00991A1C"/>
    <w:rsid w:val="009A371E"/>
    <w:rsid w:val="009B2639"/>
    <w:rsid w:val="009B559E"/>
    <w:rsid w:val="009B6D16"/>
    <w:rsid w:val="009C35EB"/>
    <w:rsid w:val="009E37CD"/>
    <w:rsid w:val="009F710F"/>
    <w:rsid w:val="00A10B9C"/>
    <w:rsid w:val="00A13B22"/>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C72EF"/>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 w:val="00FF5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8750">
      <w:bodyDiv w:val="1"/>
      <w:marLeft w:val="0"/>
      <w:marRight w:val="0"/>
      <w:marTop w:val="0"/>
      <w:marBottom w:val="0"/>
      <w:divBdr>
        <w:top w:val="none" w:sz="0" w:space="0" w:color="auto"/>
        <w:left w:val="none" w:sz="0" w:space="0" w:color="auto"/>
        <w:bottom w:val="none" w:sz="0" w:space="0" w:color="auto"/>
        <w:right w:val="none" w:sz="0" w:space="0" w:color="auto"/>
      </w:divBdr>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288">
      <w:bodyDiv w:val="1"/>
      <w:marLeft w:val="0"/>
      <w:marRight w:val="0"/>
      <w:marTop w:val="0"/>
      <w:marBottom w:val="0"/>
      <w:divBdr>
        <w:top w:val="none" w:sz="0" w:space="0" w:color="auto"/>
        <w:left w:val="none" w:sz="0" w:space="0" w:color="auto"/>
        <w:bottom w:val="none" w:sz="0" w:space="0" w:color="auto"/>
        <w:right w:val="none" w:sz="0" w:space="0" w:color="auto"/>
      </w:divBdr>
    </w:div>
    <w:div w:id="20537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44D7-915A-4FA4-A91E-0D8C08B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4397</Words>
  <Characters>26387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Piotr Rockstein</cp:lastModifiedBy>
  <cp:revision>33</cp:revision>
  <cp:lastPrinted>2021-04-29T05:09:00Z</cp:lastPrinted>
  <dcterms:created xsi:type="dcterms:W3CDTF">2021-04-28T12:53:00Z</dcterms:created>
  <dcterms:modified xsi:type="dcterms:W3CDTF">2025-05-23T09:33:00Z</dcterms:modified>
</cp:coreProperties>
</file>