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83A0" w14:textId="77777777" w:rsidR="00257610" w:rsidRPr="00564545" w:rsidRDefault="00257610" w:rsidP="0056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Príloha č. 1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43BE8" w14:textId="77777777" w:rsidR="00257610" w:rsidRPr="00564545" w:rsidRDefault="00257610" w:rsidP="00257610">
      <w:pPr>
        <w:rPr>
          <w:rFonts w:ascii="Times New Roman" w:hAnsi="Times New Roman" w:cs="Times New Roman"/>
          <w:sz w:val="24"/>
          <w:szCs w:val="24"/>
        </w:rPr>
      </w:pPr>
    </w:p>
    <w:p w14:paraId="258F4710" w14:textId="687EB994" w:rsidR="00547FBE" w:rsidRPr="00543DCA" w:rsidRDefault="00547FBE" w:rsidP="00547FBE">
      <w:pPr>
        <w:pStyle w:val="MZVnormal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sz w:val="24"/>
          <w:u w:val="single"/>
        </w:rPr>
      </w:pPr>
      <w:r w:rsidRPr="00543DCA">
        <w:rPr>
          <w:rFonts w:ascii="Times New Roman" w:hAnsi="Times New Roman"/>
          <w:b/>
          <w:bCs/>
          <w:sz w:val="24"/>
          <w:u w:val="single"/>
        </w:rPr>
        <w:t>Priechod pre chodcov</w:t>
      </w:r>
      <w:r w:rsidR="008455A3">
        <w:rPr>
          <w:rFonts w:ascii="Times New Roman" w:hAnsi="Times New Roman"/>
          <w:b/>
          <w:bCs/>
          <w:sz w:val="24"/>
          <w:u w:val="single"/>
        </w:rPr>
        <w:t xml:space="preserve"> – didaktická pomôcka</w:t>
      </w:r>
    </w:p>
    <w:p w14:paraId="6E419960" w14:textId="2A2E49E4" w:rsidR="00547FBE" w:rsidRPr="00543DCA" w:rsidRDefault="008455A3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sz w:val="24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Popis:</w:t>
      </w:r>
      <w:r w:rsidR="00547FBE" w:rsidRPr="00543DCA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Podložka z </w:t>
      </w:r>
      <w:proofErr w:type="spellStart"/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vinylu</w:t>
      </w:r>
      <w:proofErr w:type="spellEnd"/>
      <w:r w:rsidRPr="008455A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, banneru alebo iného nekĺzavého materiálu, </w:t>
      </w:r>
      <w:r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na ktorej je zobrazený </w:t>
      </w:r>
      <w:r w:rsidR="00547FBE" w:rsidRPr="00543DCA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priechod pre chodcov </w:t>
      </w:r>
      <w:r w:rsidR="00355A5F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- </w:t>
      </w:r>
      <w:r w:rsidR="00547FBE" w:rsidRPr="00543DCA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biele pruhy na čiernom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alebo šedom podklade. </w:t>
      </w:r>
    </w:p>
    <w:p w14:paraId="562E905E" w14:textId="7F62DC19" w:rsidR="00547FBE" w:rsidRPr="00355A5F" w:rsidRDefault="00355A5F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u w:val="single"/>
          <w:shd w:val="clear" w:color="auto" w:fill="FFFFFF"/>
        </w:rPr>
      </w:pP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</w:t>
      </w:r>
      <w:r w:rsidR="00A56D29"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arametre p</w:t>
      </w: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odložk</w:t>
      </w:r>
      <w:r w:rsidR="00A56D29"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y</w:t>
      </w:r>
      <w:r w:rsidRP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:</w:t>
      </w:r>
      <w:r w:rsidR="00547FBE" w:rsidRPr="00355A5F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dĺžka 110cm  (tolerancia na dĺžku + 50 cm), šírka 50 cm (tolerancia na šírku +  70cm).</w:t>
      </w:r>
    </w:p>
    <w:p w14:paraId="700F4AAA" w14:textId="7CECBFF0" w:rsidR="00547FBE" w:rsidRDefault="00547FBE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</w:p>
    <w:p w14:paraId="218C5DB0" w14:textId="77777777" w:rsidR="00547FBE" w:rsidRPr="00547FBE" w:rsidRDefault="00547FBE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</w:p>
    <w:p w14:paraId="7FA4E326" w14:textId="23D6A7B6" w:rsidR="00547FBE" w:rsidRDefault="00547FBE" w:rsidP="00547FBE">
      <w:pPr>
        <w:pStyle w:val="MZVnormal"/>
        <w:numPr>
          <w:ilvl w:val="0"/>
          <w:numId w:val="3"/>
        </w:numPr>
        <w:spacing w:line="276" w:lineRule="auto"/>
        <w:ind w:left="284" w:hanging="284"/>
        <w:jc w:val="both"/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</w:pPr>
      <w:r w:rsidRPr="009F1E2C"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>Semafor</w:t>
      </w:r>
      <w:r>
        <w:rPr>
          <w:rStyle w:val="Vrazn"/>
          <w:rFonts w:ascii="Times New Roman" w:hAnsi="Times New Roman"/>
          <w:color w:val="333333"/>
          <w:sz w:val="24"/>
          <w:u w:val="single"/>
          <w:shd w:val="clear" w:color="auto" w:fill="FFFFFF"/>
        </w:rPr>
        <w:t xml:space="preserve"> s tyčou na jeho upevnenie a stojanom </w:t>
      </w:r>
    </w:p>
    <w:p w14:paraId="05F55EA3" w14:textId="121C66F3" w:rsidR="00547FBE" w:rsidRDefault="00355A5F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Popis:</w:t>
      </w:r>
      <w:r w:rsidR="00547FBE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="00547FBE" w:rsidRPr="001E0307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B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ezdrôtový 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plastový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semafor s automatickým ovládaním prepínania svetiel,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ktorý je 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napájan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ý na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4 ks 1,5V tužkové batérie so zabudovanou ochranou batérií. Semafor sa upína alebo je </w:t>
      </w:r>
      <w:proofErr w:type="spellStart"/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namonotvaný</w:t>
      </w:r>
      <w:proofErr w:type="spellEnd"/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na kovovú tyč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potiahnutú plastom.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Tyč sa zasadzuje alebo je osadená do stojanu</w:t>
      </w:r>
      <w:r w:rsidR="004818B3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z PVC materiálu s pevnou, napr. drevenou podstavou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. </w:t>
      </w:r>
    </w:p>
    <w:p w14:paraId="6EE417D1" w14:textId="43F1A133" w:rsidR="00547FBE" w:rsidRPr="00793061" w:rsidRDefault="004818B3" w:rsidP="00547FBE">
      <w:pPr>
        <w:pStyle w:val="MZVnormal"/>
        <w:spacing w:line="276" w:lineRule="auto"/>
        <w:jc w:val="both"/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</w:pP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Parametre</w:t>
      </w:r>
      <w:r w:rsidR="00A56D29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semafóru</w:t>
      </w:r>
      <w:r w:rsidR="00547FBE" w:rsidRPr="00543DCA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>:</w:t>
      </w:r>
      <w:r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dĺžka tyče 100 cm (tolerancia + 10 cm)</w:t>
      </w:r>
      <w:r w:rsidR="00547FBE">
        <w:rPr>
          <w:rStyle w:val="Vrazn"/>
          <w:rFonts w:ascii="Times New Roman" w:hAnsi="Times New Roman"/>
          <w:color w:val="333333"/>
          <w:sz w:val="24"/>
          <w:shd w:val="clear" w:color="auto" w:fill="FFFFFF"/>
        </w:rPr>
        <w:t xml:space="preserve">, 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výška</w:t>
      </w:r>
      <w:r w:rsidR="00547FB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stojanu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4</w:t>
      </w:r>
      <w:r w:rsidR="00BA65C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0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cm (tolerancia +</w:t>
      </w:r>
      <w:r w:rsidR="00203A3D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/-</w:t>
      </w:r>
      <w:r w:rsidR="00547FBE" w:rsidRPr="00793061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 xml:space="preserve"> 5 cm)</w:t>
      </w:r>
      <w:r w:rsidR="00BA65CE">
        <w:rPr>
          <w:rStyle w:val="Vrazn"/>
          <w:rFonts w:ascii="Times New Roman" w:hAnsi="Times New Roman"/>
          <w:b w:val="0"/>
          <w:bCs w:val="0"/>
          <w:color w:val="333333"/>
          <w:sz w:val="24"/>
          <w:shd w:val="clear" w:color="auto" w:fill="FFFFFF"/>
        </w:rPr>
        <w:t>, celková výška semaforu minimálne 100cm.</w:t>
      </w:r>
    </w:p>
    <w:p w14:paraId="049DB8BB" w14:textId="77777777" w:rsidR="00257610" w:rsidRDefault="00257610" w:rsidP="00257610"/>
    <w:sectPr w:rsidR="002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A2D"/>
    <w:multiLevelType w:val="hybridMultilevel"/>
    <w:tmpl w:val="6F1AB7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E58"/>
    <w:multiLevelType w:val="hybridMultilevel"/>
    <w:tmpl w:val="2D98AF3A"/>
    <w:lvl w:ilvl="0" w:tplc="FB6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347D"/>
    <w:multiLevelType w:val="hybridMultilevel"/>
    <w:tmpl w:val="F6969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0"/>
    <w:rsid w:val="00203A3D"/>
    <w:rsid w:val="00257610"/>
    <w:rsid w:val="00355A5F"/>
    <w:rsid w:val="0038314D"/>
    <w:rsid w:val="003976A0"/>
    <w:rsid w:val="00407505"/>
    <w:rsid w:val="004818B3"/>
    <w:rsid w:val="00547FBE"/>
    <w:rsid w:val="00564545"/>
    <w:rsid w:val="008455A3"/>
    <w:rsid w:val="00882FC0"/>
    <w:rsid w:val="008A09A8"/>
    <w:rsid w:val="00A56D29"/>
    <w:rsid w:val="00BA65CE"/>
    <w:rsid w:val="00C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4749"/>
  <w15:chartTrackingRefBased/>
  <w15:docId w15:val="{486D6AFF-87BD-435E-8F2F-AD2E0E6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610"/>
    <w:pPr>
      <w:ind w:left="720"/>
      <w:contextualSpacing/>
    </w:pPr>
  </w:style>
  <w:style w:type="paragraph" w:customStyle="1" w:styleId="MZVnormal">
    <w:name w:val="MZV normal"/>
    <w:basedOn w:val="Normlny"/>
    <w:rsid w:val="00547FBE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Vrazn">
    <w:name w:val="Strong"/>
    <w:uiPriority w:val="22"/>
    <w:qFormat/>
    <w:rsid w:val="0054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3</cp:revision>
  <dcterms:created xsi:type="dcterms:W3CDTF">2025-06-02T12:42:00Z</dcterms:created>
  <dcterms:modified xsi:type="dcterms:W3CDTF">2025-06-02T12:47:00Z</dcterms:modified>
</cp:coreProperties>
</file>