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A1FF" w14:textId="2963891E"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CE63FD">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CE63FD">
        <w:rPr>
          <w:rFonts w:ascii="Times New Roman" w:hAnsi="Times New Roman" w:cs="Times New Roman"/>
          <w:color w:val="auto"/>
          <w:sz w:val="24"/>
          <w:szCs w:val="24"/>
        </w:rPr>
        <w:t>4</w:t>
      </w:r>
      <w:r w:rsidRPr="002C7A94">
        <w:rPr>
          <w:rFonts w:ascii="Times New Roman" w:hAnsi="Times New Roman" w:cs="Times New Roman"/>
          <w:color w:val="auto"/>
          <w:sz w:val="24"/>
          <w:szCs w:val="24"/>
        </w:rPr>
        <w:t>.202</w:t>
      </w:r>
      <w:r w:rsidR="00CE63FD">
        <w:rPr>
          <w:rFonts w:ascii="Times New Roman" w:hAnsi="Times New Roman" w:cs="Times New Roman"/>
          <w:color w:val="auto"/>
          <w:sz w:val="24"/>
          <w:szCs w:val="24"/>
        </w:rPr>
        <w:t>5</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5AF414D9" w:rsidR="00B159BF" w:rsidRDefault="0038765F" w:rsidP="008C2E0F">
      <w:pPr>
        <w:pStyle w:val="Standard"/>
        <w:spacing w:line="276" w:lineRule="auto"/>
        <w:jc w:val="center"/>
        <w:rPr>
          <w:sz w:val="26"/>
          <w:szCs w:val="26"/>
        </w:rPr>
      </w:pPr>
      <w:r w:rsidRPr="0023480E">
        <w:rPr>
          <w:sz w:val="26"/>
          <w:szCs w:val="26"/>
        </w:rPr>
        <w:t>Tryb udzielenia zamówienia: tryb podstawowy bez negocjacji poniżej progów unijnych określonych w art. 3 ustawy z dnia 11 września 2019 r. – Prawo zamówień publicznych (</w:t>
      </w:r>
      <w:r w:rsidR="008C2E0F" w:rsidRPr="008C2E0F">
        <w:rPr>
          <w:sz w:val="26"/>
          <w:szCs w:val="26"/>
        </w:rPr>
        <w:t>Dz. U. z 2024 r.</w:t>
      </w:r>
      <w:r w:rsidR="008C2E0F">
        <w:rPr>
          <w:sz w:val="26"/>
          <w:szCs w:val="26"/>
        </w:rPr>
        <w:t xml:space="preserve"> </w:t>
      </w:r>
      <w:r w:rsidR="008C2E0F" w:rsidRPr="008C2E0F">
        <w:rPr>
          <w:sz w:val="26"/>
          <w:szCs w:val="26"/>
        </w:rPr>
        <w:t>poz. 1320, z 2025</w:t>
      </w:r>
      <w:r w:rsidR="008C2E0F">
        <w:rPr>
          <w:sz w:val="26"/>
          <w:szCs w:val="26"/>
        </w:rPr>
        <w:t xml:space="preserve"> </w:t>
      </w:r>
      <w:r w:rsidR="008C2E0F" w:rsidRPr="008C2E0F">
        <w:rPr>
          <w:sz w:val="26"/>
          <w:szCs w:val="26"/>
        </w:rPr>
        <w:t>r. poz. 620</w:t>
      </w:r>
      <w:r w:rsidRPr="0023480E">
        <w:rPr>
          <w:sz w:val="26"/>
          <w:szCs w:val="26"/>
        </w:rPr>
        <w:t>.)</w:t>
      </w:r>
    </w:p>
    <w:p w14:paraId="25786F94" w14:textId="77777777" w:rsidR="00B159BF" w:rsidRPr="0023480E" w:rsidRDefault="00B159BF">
      <w:pPr>
        <w:pStyle w:val="Standard"/>
        <w:spacing w:line="276" w:lineRule="auto"/>
        <w:ind w:right="-283"/>
        <w:jc w:val="center"/>
        <w:rPr>
          <w:b/>
          <w:bCs/>
          <w:sz w:val="26"/>
          <w:szCs w:val="26"/>
        </w:rPr>
      </w:pPr>
    </w:p>
    <w:p w14:paraId="4BD7D29E" w14:textId="77777777" w:rsidR="00B159BF" w:rsidRPr="0023480E" w:rsidRDefault="00B159BF">
      <w:pPr>
        <w:pStyle w:val="Standard"/>
        <w:spacing w:line="276" w:lineRule="auto"/>
        <w:ind w:right="-283"/>
        <w:jc w:val="center"/>
        <w:rPr>
          <w:b/>
          <w:bCs/>
          <w:sz w:val="26"/>
          <w:szCs w:val="26"/>
        </w:rPr>
      </w:pPr>
    </w:p>
    <w:p w14:paraId="3969054C" w14:textId="64AE4C3D" w:rsidR="00CE63FD" w:rsidRDefault="00E02C83" w:rsidP="00CE63FD">
      <w:pPr>
        <w:pStyle w:val="Standard"/>
        <w:spacing w:line="276" w:lineRule="auto"/>
        <w:ind w:left="720" w:right="-283"/>
        <w:jc w:val="both"/>
        <w:rPr>
          <w:b/>
          <w:iCs/>
          <w:sz w:val="26"/>
          <w:szCs w:val="26"/>
        </w:rPr>
      </w:pPr>
      <w:r>
        <w:rPr>
          <w:b/>
          <w:iCs/>
          <w:sz w:val="26"/>
          <w:szCs w:val="26"/>
        </w:rPr>
        <w:t>„</w:t>
      </w:r>
      <w:r w:rsidR="00CE63FD" w:rsidRPr="00CE63FD">
        <w:rPr>
          <w:b/>
          <w:iCs/>
          <w:sz w:val="26"/>
          <w:szCs w:val="26"/>
        </w:rPr>
        <w:t>Przebudowa drogi gminnej nr 080706C w miejscowości Zaborowo</w:t>
      </w:r>
      <w:r>
        <w:rPr>
          <w:b/>
          <w:iCs/>
          <w:sz w:val="26"/>
          <w:szCs w:val="26"/>
        </w:rPr>
        <w:t>”</w:t>
      </w:r>
    </w:p>
    <w:p w14:paraId="72369619" w14:textId="77777777" w:rsidR="00B159BF" w:rsidRDefault="00B159BF">
      <w:pPr>
        <w:pStyle w:val="Standard"/>
        <w:spacing w:line="276" w:lineRule="auto"/>
        <w:ind w:right="-283"/>
        <w:rPr>
          <w:b/>
          <w:sz w:val="32"/>
          <w:szCs w:val="32"/>
        </w:rPr>
      </w:pPr>
    </w:p>
    <w:p w14:paraId="5FE9BB65" w14:textId="77777777" w:rsidR="00CE63FD" w:rsidRDefault="00CE63FD">
      <w:pPr>
        <w:pStyle w:val="Standard"/>
        <w:spacing w:line="276" w:lineRule="auto"/>
        <w:ind w:right="-283"/>
        <w:rPr>
          <w:b/>
          <w:sz w:val="32"/>
          <w:szCs w:val="32"/>
        </w:rPr>
      </w:pPr>
    </w:p>
    <w:p w14:paraId="52A9B45D" w14:textId="77777777" w:rsidR="00CE63FD" w:rsidRDefault="00CE63FD">
      <w:pPr>
        <w:pStyle w:val="Standard"/>
        <w:spacing w:line="276" w:lineRule="auto"/>
        <w:ind w:right="-283"/>
        <w:rPr>
          <w:b/>
          <w:sz w:val="32"/>
          <w:szCs w:val="32"/>
        </w:rPr>
      </w:pPr>
    </w:p>
    <w:p w14:paraId="33293D10" w14:textId="79EF6139" w:rsidR="00B159BF" w:rsidRDefault="00CE63FD">
      <w:pPr>
        <w:pStyle w:val="Standard"/>
        <w:jc w:val="right"/>
      </w:pPr>
      <w:r>
        <w:rPr>
          <w:b/>
        </w:rPr>
        <w:t>Specy</w:t>
      </w:r>
      <w:r w:rsidR="0038765F">
        <w:rPr>
          <w:b/>
        </w:rPr>
        <w:t>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2E48616C" w14:textId="77777777" w:rsidR="00CE63FD" w:rsidRDefault="00CE63FD">
      <w:pPr>
        <w:pStyle w:val="Standard"/>
        <w:jc w:val="right"/>
        <w:rPr>
          <w:b/>
        </w:rPr>
      </w:pPr>
    </w:p>
    <w:p w14:paraId="697737AB" w14:textId="77777777" w:rsidR="00CE63FD" w:rsidRDefault="00CE63FD">
      <w:pPr>
        <w:pStyle w:val="Standard"/>
        <w:jc w:val="right"/>
        <w:rPr>
          <w:b/>
        </w:rPr>
      </w:pPr>
    </w:p>
    <w:p w14:paraId="0AB2A365" w14:textId="77777777" w:rsidR="00CE63FD" w:rsidRDefault="00CE63FD">
      <w:pPr>
        <w:pStyle w:val="Standard"/>
        <w:jc w:val="right"/>
        <w:rPr>
          <w:b/>
        </w:rPr>
      </w:pPr>
    </w:p>
    <w:p w14:paraId="7B7E9CF0" w14:textId="77777777" w:rsidR="00CE63FD" w:rsidRDefault="00CE63FD">
      <w:pPr>
        <w:pStyle w:val="Standard"/>
        <w:jc w:val="right"/>
        <w:rPr>
          <w:b/>
        </w:rPr>
      </w:pPr>
    </w:p>
    <w:p w14:paraId="11699B82" w14:textId="77777777" w:rsidR="00CE63FD" w:rsidRDefault="00CE63FD">
      <w:pPr>
        <w:pStyle w:val="Standard"/>
        <w:jc w:val="right"/>
        <w:rPr>
          <w:b/>
        </w:rPr>
      </w:pPr>
    </w:p>
    <w:p w14:paraId="5AF684DE" w14:textId="1236C181" w:rsidR="00B159BF" w:rsidRDefault="0038765F">
      <w:pPr>
        <w:pStyle w:val="Standard"/>
        <w:jc w:val="center"/>
      </w:pPr>
      <w:r>
        <w:rPr>
          <w:b/>
          <w:sz w:val="20"/>
          <w:szCs w:val="20"/>
        </w:rPr>
        <w:t xml:space="preserve">Górzno, dnia </w:t>
      </w:r>
      <w:r w:rsidR="00CE63FD">
        <w:rPr>
          <w:b/>
          <w:sz w:val="20"/>
          <w:szCs w:val="20"/>
        </w:rPr>
        <w:t>13</w:t>
      </w:r>
      <w:r>
        <w:rPr>
          <w:b/>
          <w:sz w:val="20"/>
          <w:szCs w:val="20"/>
        </w:rPr>
        <w:t>.</w:t>
      </w:r>
      <w:r w:rsidR="00CB5899">
        <w:rPr>
          <w:b/>
          <w:sz w:val="20"/>
          <w:szCs w:val="20"/>
        </w:rPr>
        <w:t>0</w:t>
      </w:r>
      <w:r w:rsidR="00D273E5">
        <w:rPr>
          <w:b/>
          <w:sz w:val="20"/>
          <w:szCs w:val="20"/>
        </w:rPr>
        <w:t>6</w:t>
      </w:r>
      <w:r>
        <w:rPr>
          <w:b/>
          <w:sz w:val="20"/>
          <w:szCs w:val="20"/>
        </w:rPr>
        <w:t>.202</w:t>
      </w:r>
      <w:r w:rsidR="00CE63FD">
        <w:rPr>
          <w:b/>
          <w:sz w:val="20"/>
          <w:szCs w:val="20"/>
        </w:rPr>
        <w:t>5</w:t>
      </w:r>
      <w:r>
        <w:rPr>
          <w:b/>
          <w:sz w:val="20"/>
          <w:szCs w:val="20"/>
        </w:rPr>
        <w:t xml:space="preserve"> r.</w:t>
      </w: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02BD3FDE" w:rsidR="00B159BF" w:rsidRDefault="0038765F">
      <w:pPr>
        <w:pStyle w:val="Standard"/>
      </w:pPr>
      <w:r>
        <w:rPr>
          <w:b/>
        </w:rPr>
        <w:t xml:space="preserve">Godziny urzędowania:    </w:t>
      </w:r>
      <w:r>
        <w:t>poniedziałek, środa, czwartek</w:t>
      </w:r>
      <w:r w:rsidR="00535970">
        <w:t xml:space="preserve"> w godzinach 7:15-15:30, wtorek w godzinach 8:00-16:00,</w:t>
      </w:r>
      <w:r>
        <w:t xml:space="preserve"> piątek w godzinach 7:</w:t>
      </w:r>
      <w:r w:rsidR="00535970">
        <w:t>15</w:t>
      </w:r>
      <w:r>
        <w:t xml:space="preserve"> – </w:t>
      </w:r>
      <w:r w:rsidR="00535970">
        <w:t>14</w:t>
      </w:r>
      <w:r>
        <w:t>:30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II. ADRES STRONY INTERNETOWEJ, NA KTÓREJ UDOSTEPNIANE BĘDĄ ZMIANY                 I WYJAŚNIENIA TREŚCI SWZ ORAZ INNE DOKUMENTY ZAMOWIENIA BEZPOŚREDNIO ZWIĄZANE Z POSTĘPOWANIEM O UDZIELENIE ZAMÓWIENIA</w:t>
      </w:r>
    </w:p>
    <w:p w14:paraId="686BB280" w14:textId="03D60A1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7F54AD" w:rsidRPr="007F54AD">
        <w:rPr>
          <w:bCs/>
          <w:sz w:val="22"/>
          <w:szCs w:val="22"/>
        </w:rPr>
        <w:t>https://josephine.proebiz.com/pl/tender/68230/summary</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2E6C4341"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w:t>
      </w:r>
      <w:r w:rsidR="007F54AD" w:rsidRPr="008C2E0F">
        <w:rPr>
          <w:sz w:val="26"/>
          <w:szCs w:val="26"/>
        </w:rPr>
        <w:t>Dz. U. z 2024 r.</w:t>
      </w:r>
      <w:r w:rsidR="007F54AD">
        <w:rPr>
          <w:sz w:val="26"/>
          <w:szCs w:val="26"/>
        </w:rPr>
        <w:t xml:space="preserve"> </w:t>
      </w:r>
      <w:r w:rsidR="007F54AD" w:rsidRPr="008C2E0F">
        <w:rPr>
          <w:sz w:val="26"/>
          <w:szCs w:val="26"/>
        </w:rPr>
        <w:t>poz. 1320, z 2025</w:t>
      </w:r>
      <w:r w:rsidR="007F54AD">
        <w:rPr>
          <w:sz w:val="26"/>
          <w:szCs w:val="26"/>
        </w:rPr>
        <w:t xml:space="preserve"> </w:t>
      </w:r>
      <w:r w:rsidR="007F54AD" w:rsidRPr="008C2E0F">
        <w:rPr>
          <w:sz w:val="26"/>
          <w:szCs w:val="26"/>
        </w:rPr>
        <w:t>r. poz. 620</w:t>
      </w:r>
      <w:r w:rsidR="005272CA">
        <w:rPr>
          <w:sz w:val="22"/>
          <w:szCs w:val="22"/>
        </w:rPr>
        <w:t>.</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6D4A11A2" w14:textId="1BBF3D98" w:rsidR="00614CCB" w:rsidRDefault="00CB5899" w:rsidP="0064127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 xml:space="preserve">roboty budowlane polegające </w:t>
      </w:r>
      <w:r w:rsidR="00CE63FD">
        <w:rPr>
          <w:bCs/>
          <w:sz w:val="22"/>
          <w:szCs w:val="22"/>
        </w:rPr>
        <w:t>p</w:t>
      </w:r>
      <w:r w:rsidR="00CE63FD" w:rsidRPr="00CE63FD">
        <w:rPr>
          <w:bCs/>
          <w:sz w:val="22"/>
          <w:szCs w:val="22"/>
        </w:rPr>
        <w:t>rzebudow</w:t>
      </w:r>
      <w:r w:rsidR="00CE63FD">
        <w:rPr>
          <w:bCs/>
          <w:sz w:val="22"/>
          <w:szCs w:val="22"/>
        </w:rPr>
        <w:t>ie</w:t>
      </w:r>
      <w:r w:rsidR="00CE63FD" w:rsidRPr="00CE63FD">
        <w:rPr>
          <w:bCs/>
          <w:sz w:val="22"/>
          <w:szCs w:val="22"/>
        </w:rPr>
        <w:t xml:space="preserve"> drogi gminnej nr 080706C w miejscowości Zaborowo</w:t>
      </w:r>
      <w:r w:rsidR="00CE63FD">
        <w:rPr>
          <w:bCs/>
          <w:sz w:val="22"/>
          <w:szCs w:val="22"/>
        </w:rPr>
        <w:t>.</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6E58F2B9" w14:textId="2F121B70" w:rsidR="00CE0F05"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w:t>
      </w:r>
      <w:r w:rsidR="007335DC">
        <w:rPr>
          <w:rFonts w:eastAsia="TimesNewRomanPSMT"/>
          <w:color w:val="000000"/>
          <w:sz w:val="22"/>
          <w:szCs w:val="22"/>
        </w:rPr>
        <w:t xml:space="preserve">przebudowie </w:t>
      </w:r>
      <w:r w:rsidR="008D2CBA">
        <w:rPr>
          <w:rFonts w:eastAsia="TimesNewRomanPSMT"/>
          <w:color w:val="000000"/>
          <w:sz w:val="22"/>
          <w:szCs w:val="22"/>
        </w:rPr>
        <w:t>dr</w:t>
      </w:r>
      <w:r w:rsidR="00957C02">
        <w:rPr>
          <w:rFonts w:eastAsia="TimesNewRomanPSMT"/>
          <w:color w:val="000000"/>
          <w:sz w:val="22"/>
          <w:szCs w:val="22"/>
        </w:rPr>
        <w:t>ogi gminnej</w:t>
      </w:r>
      <w:r w:rsidR="008D2CBA">
        <w:rPr>
          <w:rFonts w:eastAsia="TimesNewRomanPSMT"/>
          <w:color w:val="000000"/>
          <w:sz w:val="22"/>
          <w:szCs w:val="22"/>
        </w:rPr>
        <w:t xml:space="preserve"> wraz z</w:t>
      </w:r>
      <w:r w:rsidR="003B6D30">
        <w:rPr>
          <w:rFonts w:eastAsia="TimesNewRomanPSMT"/>
          <w:color w:val="000000"/>
          <w:sz w:val="22"/>
          <w:szCs w:val="22"/>
        </w:rPr>
        <w:t xml:space="preserve"> robotami towarzyszącymi</w:t>
      </w:r>
      <w:r w:rsidR="009417E6">
        <w:rPr>
          <w:rFonts w:eastAsia="TimesNewRomanPSMT"/>
          <w:color w:val="000000"/>
          <w:sz w:val="22"/>
          <w:szCs w:val="22"/>
        </w:rPr>
        <w:t>.</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0EFB655B"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lastRenderedPageBreak/>
        <w:t>1.1.3</w:t>
      </w:r>
      <w:r w:rsidR="003D4661">
        <w:rPr>
          <w:rFonts w:eastAsia="TimesNewRomanPSMT"/>
          <w:color w:val="000000"/>
          <w:sz w:val="22"/>
          <w:szCs w:val="22"/>
        </w:rPr>
        <w:t> </w:t>
      </w:r>
      <w:r w:rsidRPr="00F54DE8">
        <w:rPr>
          <w:rFonts w:eastAsia="TimesNewRomanPSMT"/>
          <w:color w:val="000000"/>
          <w:sz w:val="22"/>
          <w:szCs w:val="22"/>
        </w:rPr>
        <w:t>Przedmiar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w:t>
      </w:r>
      <w:r w:rsidRPr="00F54DE8">
        <w:rPr>
          <w:rFonts w:eastAsia="Calibri"/>
          <w:sz w:val="22"/>
          <w:szCs w:val="22"/>
        </w:rPr>
        <w:lastRenderedPageBreak/>
        <w:t>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lastRenderedPageBreak/>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29202DC8"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 Całość inwestycji musi być zakończona uzyskaniem pozwolenia na użytkowanie,</w:t>
      </w:r>
      <w:r w:rsidR="00B862FD">
        <w:rPr>
          <w:sz w:val="22"/>
          <w:szCs w:val="22"/>
        </w:rPr>
        <w:t xml:space="preserve"> co zostanie potwierdzone przez zgodność </w:t>
      </w:r>
      <w:r w:rsidR="006651F3">
        <w:rPr>
          <w:sz w:val="22"/>
          <w:szCs w:val="22"/>
        </w:rPr>
        <w:t>po realizacyjną</w:t>
      </w:r>
      <w:r w:rsidR="00B862FD">
        <w:rPr>
          <w:sz w:val="22"/>
          <w:szCs w:val="22"/>
        </w:rPr>
        <w:t xml:space="preserve"> inwestycji z założeniami projektowymi</w:t>
      </w:r>
      <w:r w:rsidR="008D5241">
        <w:rPr>
          <w:sz w:val="22"/>
          <w:szCs w:val="22"/>
        </w:rPr>
        <w:t xml:space="preserve"> do czego niezbędny jest odbiór przez</w:t>
      </w:r>
      <w:r w:rsidR="006651F3">
        <w:rPr>
          <w:sz w:val="22"/>
          <w:szCs w:val="22"/>
        </w:rPr>
        <w:t xml:space="preserve"> Nadzór Budowlany. Rodzaj inwestycji wymagać będzie także udziału</w:t>
      </w:r>
      <w:r w:rsidR="008D5241">
        <w:rPr>
          <w:sz w:val="22"/>
          <w:szCs w:val="22"/>
        </w:rPr>
        <w:t xml:space="preserve"> Państwowego Powiatowego Inspektora Sanitarnego w Brodnicy</w:t>
      </w:r>
      <w:r w:rsidR="00B862FD">
        <w:rPr>
          <w:sz w:val="22"/>
          <w:szCs w:val="22"/>
        </w:rPr>
        <w:t>, który sprawdzać będzie między innymi zgodność technologii kuchennej</w:t>
      </w:r>
      <w:r w:rsidR="00AC53C7">
        <w:rPr>
          <w:sz w:val="22"/>
          <w:szCs w:val="22"/>
        </w:rPr>
        <w:t>,</w:t>
      </w:r>
      <w:r w:rsidR="00B862FD">
        <w:rPr>
          <w:sz w:val="22"/>
          <w:szCs w:val="22"/>
        </w:rPr>
        <w:t xml:space="preserve"> z zatwierdzonymi założeniami z projektu budowlanego.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lastRenderedPageBreak/>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270C2E44" w14:textId="0EDCC803" w:rsidR="00CE0F05"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957C02">
        <w:rPr>
          <w:bCs/>
          <w:color w:val="000000"/>
          <w:sz w:val="22"/>
          <w:szCs w:val="22"/>
          <w:lang w:val="pl-PL"/>
        </w:rPr>
        <w:t>7</w:t>
      </w:r>
      <w:r w:rsidRPr="009549D6">
        <w:rPr>
          <w:bCs/>
          <w:color w:val="000000"/>
          <w:sz w:val="22"/>
          <w:szCs w:val="22"/>
          <w:lang w:val="pl-PL"/>
        </w:rPr>
        <w:t xml:space="preserve"> dni od podpisania umowy</w:t>
      </w:r>
    </w:p>
    <w:p w14:paraId="47453C48" w14:textId="2EA32BFB"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sidR="00313FEF">
        <w:rPr>
          <w:bCs/>
          <w:color w:val="000000"/>
          <w:sz w:val="22"/>
          <w:szCs w:val="22"/>
          <w:lang w:val="pl-PL"/>
        </w:rPr>
        <w:t>-montażowych</w:t>
      </w:r>
      <w:r w:rsidR="009B5B63">
        <w:rPr>
          <w:bCs/>
          <w:color w:val="000000"/>
          <w:sz w:val="22"/>
          <w:szCs w:val="22"/>
          <w:lang w:val="pl-PL"/>
        </w:rPr>
        <w:t xml:space="preserve"> w</w:t>
      </w:r>
      <w:r w:rsidR="00EA7182">
        <w:rPr>
          <w:bCs/>
          <w:color w:val="000000"/>
          <w:sz w:val="22"/>
          <w:szCs w:val="22"/>
          <w:lang w:val="pl-PL"/>
        </w:rPr>
        <w:t xml:space="preserve"> terminie </w:t>
      </w:r>
      <w:r w:rsidR="00957C02">
        <w:rPr>
          <w:bCs/>
          <w:color w:val="000000"/>
          <w:sz w:val="22"/>
          <w:szCs w:val="22"/>
          <w:lang w:val="pl-PL"/>
        </w:rPr>
        <w:t>45 dni</w:t>
      </w:r>
      <w:r w:rsidR="00EA7182">
        <w:rPr>
          <w:bCs/>
          <w:color w:val="000000"/>
          <w:sz w:val="22"/>
          <w:szCs w:val="22"/>
          <w:lang w:val="pl-PL"/>
        </w:rPr>
        <w:t xml:space="preserve"> od podpisania umowy</w:t>
      </w:r>
      <w:r w:rsidRPr="009549D6">
        <w:rPr>
          <w:bCs/>
          <w:color w:val="000000"/>
          <w:sz w:val="22"/>
          <w:szCs w:val="22"/>
          <w:lang w:val="pl-PL"/>
        </w:rPr>
        <w:t>,</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41CF3C7F" w14:textId="77777777" w:rsidR="009922B6" w:rsidRPr="00F54DE8" w:rsidRDefault="009922B6">
      <w:pPr>
        <w:pStyle w:val="Textbody"/>
        <w:spacing w:line="360" w:lineRule="auto"/>
        <w:jc w:val="both"/>
        <w:rPr>
          <w:sz w:val="22"/>
          <w:szCs w:val="22"/>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 xml:space="preserve">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w:t>
      </w:r>
      <w:r w:rsidRPr="00F54DE8">
        <w:rPr>
          <w:sz w:val="22"/>
          <w:szCs w:val="22"/>
        </w:rPr>
        <w:lastRenderedPageBreak/>
        <w:t>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oraz dokumentów potwierdzających umocowanie do reprezentowania – odpowiednio Wykonawca, Wykonawca wspólnie ubiegający się o udzielenie zamówienia, podmiot udostępniający zasoby lub podwykonawca, w zakresie podmiotowych środków </w:t>
      </w:r>
      <w:r w:rsidRPr="00F54DE8">
        <w:rPr>
          <w:sz w:val="22"/>
          <w:szCs w:val="22"/>
        </w:rPr>
        <w:lastRenderedPageBreak/>
        <w:t>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 xml:space="preserve">13. W przypadku przekazywania w postępowaniu dokumentu elektronicznego w formacie poddającym dane kompresji, opatrzenie pliku zawierającego skompresowane dokumenty kwalifikowanym </w:t>
      </w:r>
      <w:r w:rsidRPr="00F54DE8">
        <w:rPr>
          <w:sz w:val="22"/>
          <w:szCs w:val="22"/>
        </w:rPr>
        <w:lastRenderedPageBreak/>
        <w:t>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6B2B58B9"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Wraz z ofertą należy dołączyć kosztorys ofertowy sporządzony na podstawie zamieszczon</w:t>
      </w:r>
      <w:r w:rsidR="003F1345">
        <w:rPr>
          <w:b/>
          <w:bCs/>
          <w:sz w:val="22"/>
          <w:szCs w:val="22"/>
        </w:rPr>
        <w:t>ego</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3F1345">
        <w:rPr>
          <w:b/>
          <w:bCs/>
          <w:sz w:val="22"/>
          <w:szCs w:val="22"/>
        </w:rPr>
        <w:t>u</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w:t>
      </w:r>
      <w:r w:rsidRPr="00F54DE8">
        <w:rPr>
          <w:sz w:val="22"/>
          <w:szCs w:val="22"/>
        </w:rPr>
        <w:lastRenderedPageBreak/>
        <w:t xml:space="preserve">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 xml:space="preserve">8.1. W przypadku, gdy Wykonawca nie wykaże, że zastrzeżone informacje stanowią tajemnicę przedsiębiorstwa w rozumieniu art. 11 ust. 2 ustawy z dnia 16.04.1993 r. o zwalczaniu nieuczciwej konkurencji (tj. Dz. U. z 2020r. poz. 1913) Zamawiający uzna zastrzeżenie tajemnicy za bezskuteczne,      </w:t>
      </w:r>
      <w:r w:rsidRPr="00F54DE8">
        <w:rPr>
          <w:sz w:val="22"/>
          <w:szCs w:val="22"/>
        </w:rPr>
        <w:lastRenderedPageBreak/>
        <w:t>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w:t>
      </w:r>
      <w:r w:rsidRPr="00F54DE8">
        <w:rPr>
          <w:sz w:val="22"/>
          <w:szCs w:val="22"/>
        </w:rPr>
        <w:lastRenderedPageBreak/>
        <w:t xml:space="preserve">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307B2B45"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lastRenderedPageBreak/>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AA0305">
        <w:rPr>
          <w:b/>
          <w:bCs/>
          <w:sz w:val="22"/>
          <w:szCs w:val="22"/>
          <w:u w:val="single"/>
        </w:rPr>
        <w:t xml:space="preserve">przebudowie, rozbudowie </w:t>
      </w:r>
      <w:r w:rsidR="00B8725A">
        <w:rPr>
          <w:b/>
          <w:bCs/>
          <w:sz w:val="22"/>
          <w:szCs w:val="22"/>
          <w:u w:val="single"/>
        </w:rPr>
        <w:t>l</w:t>
      </w:r>
      <w:r w:rsidR="00AA0305">
        <w:rPr>
          <w:b/>
          <w:bCs/>
          <w:sz w:val="22"/>
          <w:szCs w:val="22"/>
          <w:u w:val="single"/>
        </w:rPr>
        <w:t>ub budowie</w:t>
      </w:r>
      <w:r w:rsidR="00FC2F6F" w:rsidRPr="001F73A2">
        <w:rPr>
          <w:b/>
          <w:bCs/>
          <w:sz w:val="22"/>
          <w:szCs w:val="22"/>
          <w:u w:val="single"/>
        </w:rPr>
        <w:t xml:space="preserve"> </w:t>
      </w:r>
      <w:r w:rsidR="00B8725A">
        <w:rPr>
          <w:b/>
          <w:bCs/>
          <w:sz w:val="22"/>
          <w:szCs w:val="22"/>
          <w:u w:val="single"/>
        </w:rPr>
        <w:t>drogi publicznej</w:t>
      </w:r>
      <w:r w:rsidRPr="001F73A2">
        <w:rPr>
          <w:b/>
          <w:bCs/>
          <w:sz w:val="22"/>
          <w:szCs w:val="22"/>
          <w:u w:val="single"/>
        </w:rPr>
        <w:t xml:space="preserve"> o wartości min </w:t>
      </w:r>
      <w:r w:rsidR="003F1345">
        <w:rPr>
          <w:b/>
          <w:bCs/>
          <w:sz w:val="22"/>
          <w:szCs w:val="22"/>
          <w:u w:val="single"/>
        </w:rPr>
        <w:t>2</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r w:rsidR="00B55C46">
        <w:rPr>
          <w:sz w:val="22"/>
          <w:szCs w:val="22"/>
          <w:u w:val="single"/>
        </w:rPr>
        <w:t>,</w:t>
      </w:r>
    </w:p>
    <w:p w14:paraId="429C0B47" w14:textId="44AFB2A0"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B8725A">
        <w:rPr>
          <w:b/>
          <w:bCs/>
          <w:color w:val="000000"/>
          <w:sz w:val="22"/>
          <w:szCs w:val="22"/>
        </w:rPr>
        <w:t>dro</w:t>
      </w:r>
      <w:r w:rsidR="002A09B6">
        <w:rPr>
          <w:b/>
          <w:bCs/>
          <w:color w:val="000000"/>
          <w:sz w:val="22"/>
          <w:szCs w:val="22"/>
        </w:rPr>
        <w:t xml:space="preserve">gowej </w:t>
      </w:r>
      <w:r w:rsidRPr="00F54DE8">
        <w:rPr>
          <w:color w:val="000000"/>
          <w:sz w:val="22"/>
          <w:szCs w:val="22"/>
        </w:rPr>
        <w:t>lub odpowiadające im równoważne uprawnienia w tej specjalności</w:t>
      </w:r>
      <w:r w:rsidR="003F1345">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późn. zm.) lub odpowiadające im ważne uprawnienia, które zostały wydane na podstawie wcześniej obowiązujących przepisów oraz odpowiadające wymogom określonym w ustawie o samorządach zawodowych architektów oraz inżynierów budownictwa (Dz. U. z 2019 r., poz. 1117 z późn.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2018 r., poz. 2272) lub posiadać prawo do świadczenia usług transgranicznych zgodnie z ustawą z dnia 15 grudnia 2000 r. o samorządach zawodowych architektów oraz inżynierów budownictwa (Dz.U. z 2019 r., poz. 1117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 xml:space="preserve">c) o którym mowa wart.228–230a, art.250a Kodeksu karnego lub wart.46 lub art.48 ustawy z dnia </w:t>
      </w:r>
      <w:r w:rsidRPr="00F54DE8">
        <w:rPr>
          <w:sz w:val="22"/>
          <w:szCs w:val="22"/>
        </w:rPr>
        <w:lastRenderedPageBreak/>
        <w:t>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 xml:space="preserve">7)  Na podstawie art. 109 ust. 4 Zamawiający wykluczy Wykonawcę w stosunku do którego otwarto </w:t>
      </w:r>
      <w:r w:rsidRPr="00F54DE8">
        <w:rPr>
          <w:sz w:val="22"/>
          <w:szCs w:val="22"/>
        </w:rPr>
        <w:lastRenderedPageBreak/>
        <w:t>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Z postępowania o udzielenie zamówienia wyklucza się Wykonawców, w stosunku do których zachodzi którakolwiek z okoliczności wskazanych:</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2022 poz. 835)tj.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xml:space="preserve">–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w:t>
      </w:r>
      <w:r w:rsidRPr="00F54DE8">
        <w:rPr>
          <w:iCs/>
          <w:sz w:val="22"/>
          <w:szCs w:val="22"/>
        </w:rPr>
        <w:lastRenderedPageBreak/>
        <w:t>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w:t>
      </w:r>
      <w:r w:rsidRPr="00F54DE8">
        <w:rPr>
          <w:sz w:val="22"/>
          <w:szCs w:val="22"/>
        </w:rPr>
        <w:lastRenderedPageBreak/>
        <w:t xml:space="preserve">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wyczerpująco wyjaśnił fakty i okoliczności związane z przestępstwem, wykroczeniem lub swoim nieprawidłowym postępowaniem oraz spowodowanymi przez nie szkodami, aktywnie współpracując </w:t>
      </w:r>
      <w:r w:rsidRPr="00F54DE8">
        <w:rPr>
          <w:sz w:val="22"/>
          <w:szCs w:val="22"/>
        </w:rPr>
        <w:lastRenderedPageBreak/>
        <w:t>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5872897"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DB625C">
        <w:rPr>
          <w:b/>
          <w:bCs/>
          <w:sz w:val="22"/>
          <w:szCs w:val="22"/>
        </w:rPr>
        <w:t>3</w:t>
      </w:r>
      <w:r w:rsidR="00C911A7" w:rsidRPr="003B0A20">
        <w:rPr>
          <w:b/>
          <w:bCs/>
          <w:sz w:val="22"/>
          <w:szCs w:val="22"/>
        </w:rPr>
        <w:t xml:space="preserve"> 000</w:t>
      </w:r>
      <w:r w:rsidRPr="003B0A20">
        <w:rPr>
          <w:b/>
          <w:bCs/>
          <w:sz w:val="22"/>
          <w:szCs w:val="22"/>
        </w:rPr>
        <w:t xml:space="preserve">,00 zł (słownie: </w:t>
      </w:r>
      <w:r w:rsidR="00DB625C">
        <w:rPr>
          <w:b/>
          <w:bCs/>
          <w:sz w:val="22"/>
          <w:szCs w:val="22"/>
        </w:rPr>
        <w:t xml:space="preserve">trzy </w:t>
      </w:r>
      <w:r w:rsidR="003B0A20">
        <w:rPr>
          <w:b/>
          <w:bCs/>
          <w:sz w:val="22"/>
          <w:szCs w:val="22"/>
        </w:rPr>
        <w:t>tysi</w:t>
      </w:r>
      <w:r w:rsidR="00DB625C">
        <w:rPr>
          <w:b/>
          <w:bCs/>
          <w:sz w:val="22"/>
          <w:szCs w:val="22"/>
        </w:rPr>
        <w:t>ą</w:t>
      </w:r>
      <w:r w:rsidR="003B0A20">
        <w:rPr>
          <w:b/>
          <w:bCs/>
          <w:sz w:val="22"/>
          <w:szCs w:val="22"/>
        </w:rPr>
        <w:t>c</w:t>
      </w:r>
      <w:r w:rsidR="00DB625C">
        <w:rPr>
          <w:b/>
          <w:bCs/>
          <w:sz w:val="22"/>
          <w:szCs w:val="22"/>
        </w:rPr>
        <w:t>e</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w:t>
      </w:r>
      <w:r w:rsidRPr="00F54DE8">
        <w:rPr>
          <w:sz w:val="22"/>
          <w:szCs w:val="22"/>
        </w:rPr>
        <w:lastRenderedPageBreak/>
        <w:t>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4389C420"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DB625C">
        <w:rPr>
          <w:b/>
          <w:bCs/>
          <w:sz w:val="22"/>
          <w:szCs w:val="22"/>
        </w:rPr>
        <w:t>01</w:t>
      </w:r>
      <w:r w:rsidRPr="00F54DE8">
        <w:rPr>
          <w:b/>
          <w:bCs/>
          <w:sz w:val="22"/>
          <w:szCs w:val="22"/>
        </w:rPr>
        <w:t>.0</w:t>
      </w:r>
      <w:r w:rsidR="001A36B4">
        <w:rPr>
          <w:b/>
          <w:bCs/>
          <w:sz w:val="22"/>
          <w:szCs w:val="22"/>
        </w:rPr>
        <w:t>7</w:t>
      </w:r>
      <w:r w:rsidRPr="00F54DE8">
        <w:rPr>
          <w:b/>
          <w:bCs/>
          <w:sz w:val="22"/>
          <w:szCs w:val="22"/>
        </w:rPr>
        <w:t>.202</w:t>
      </w:r>
      <w:r w:rsidR="0037756C">
        <w:rPr>
          <w:b/>
          <w:bCs/>
          <w:sz w:val="22"/>
          <w:szCs w:val="22"/>
        </w:rPr>
        <w:t>5</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3B791429"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37756C">
        <w:rPr>
          <w:b/>
          <w:bCs/>
          <w:sz w:val="22"/>
          <w:szCs w:val="22"/>
        </w:rPr>
        <w:t>3</w:t>
      </w:r>
      <w:r w:rsidR="008B5CCC">
        <w:rPr>
          <w:b/>
          <w:bCs/>
          <w:sz w:val="22"/>
          <w:szCs w:val="22"/>
        </w:rPr>
        <w:t>0</w:t>
      </w:r>
      <w:r w:rsidRPr="00DC2FF8">
        <w:rPr>
          <w:b/>
          <w:bCs/>
          <w:sz w:val="22"/>
          <w:szCs w:val="22"/>
        </w:rPr>
        <w:t>.0</w:t>
      </w:r>
      <w:r w:rsidR="0037756C">
        <w:rPr>
          <w:b/>
          <w:bCs/>
          <w:sz w:val="22"/>
          <w:szCs w:val="22"/>
        </w:rPr>
        <w:t>7</w:t>
      </w:r>
      <w:r w:rsidRPr="00DC2FF8">
        <w:rPr>
          <w:b/>
          <w:bCs/>
          <w:sz w:val="22"/>
          <w:szCs w:val="22"/>
        </w:rPr>
        <w:t>.202</w:t>
      </w:r>
      <w:r w:rsidR="0037756C">
        <w:rPr>
          <w:b/>
          <w:bCs/>
          <w:sz w:val="22"/>
          <w:szCs w:val="22"/>
        </w:rPr>
        <w:t>5</w:t>
      </w:r>
      <w:r w:rsidRPr="00DC2FF8">
        <w:rPr>
          <w:b/>
          <w:bCs/>
          <w:sz w:val="22"/>
          <w:szCs w:val="22"/>
        </w:rPr>
        <w:t>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05D0B17C"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37756C">
        <w:rPr>
          <w:b/>
          <w:sz w:val="22"/>
          <w:szCs w:val="22"/>
        </w:rPr>
        <w:t>01</w:t>
      </w:r>
      <w:r w:rsidR="00D11D72">
        <w:rPr>
          <w:b/>
          <w:sz w:val="22"/>
          <w:szCs w:val="22"/>
        </w:rPr>
        <w:t>.0</w:t>
      </w:r>
      <w:r w:rsidR="008B5CCC">
        <w:rPr>
          <w:b/>
          <w:sz w:val="22"/>
          <w:szCs w:val="22"/>
        </w:rPr>
        <w:t>7</w:t>
      </w:r>
      <w:r w:rsidR="00D11D72">
        <w:rPr>
          <w:b/>
          <w:sz w:val="22"/>
          <w:szCs w:val="22"/>
        </w:rPr>
        <w:t>.202</w:t>
      </w:r>
      <w:r w:rsidR="006E7C5C">
        <w:rPr>
          <w:b/>
          <w:sz w:val="22"/>
          <w:szCs w:val="22"/>
        </w:rPr>
        <w:t>4</w:t>
      </w:r>
      <w:r w:rsidRPr="00F54DE8">
        <w:rPr>
          <w:b/>
          <w:sz w:val="22"/>
          <w:szCs w:val="22"/>
        </w:rPr>
        <w:t xml:space="preserve">r. o godzinie </w:t>
      </w:r>
      <w:r w:rsidR="008933F5">
        <w:rPr>
          <w:b/>
          <w:sz w:val="22"/>
          <w:szCs w:val="22"/>
        </w:rPr>
        <w:t>1</w:t>
      </w:r>
      <w:r w:rsidR="00613526">
        <w:rPr>
          <w:b/>
          <w:sz w:val="22"/>
          <w:szCs w:val="22"/>
        </w:rPr>
        <w:t>1</w:t>
      </w:r>
      <w:r w:rsidR="002D2E6E">
        <w:rPr>
          <w:b/>
          <w:sz w:val="22"/>
          <w:szCs w:val="22"/>
        </w:rPr>
        <w:t>:</w:t>
      </w:r>
      <w:r w:rsidR="00613526">
        <w:rPr>
          <w:b/>
          <w:sz w:val="22"/>
          <w:szCs w:val="22"/>
        </w:rPr>
        <w:t>0</w:t>
      </w:r>
      <w:r w:rsidR="002D2E6E">
        <w:rPr>
          <w:b/>
          <w:sz w:val="22"/>
          <w:szCs w:val="22"/>
        </w:rPr>
        <w:t>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lastRenderedPageBreak/>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lastRenderedPageBreak/>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11. Zamawiający powiadomi o wyniku postępowania przesyłając zawiadomienie wszystkim Wykonawcom, którzy złożyli oferty oraz poprzez zamieszczenie stosownej informacji na Platformie </w:t>
      </w:r>
      <w:r w:rsidRPr="00F54DE8">
        <w:rPr>
          <w:sz w:val="22"/>
          <w:szCs w:val="22"/>
        </w:rPr>
        <w:lastRenderedPageBreak/>
        <w:t>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4B33E47E" w:rsidR="0038765F" w:rsidRDefault="00B630C4" w:rsidP="007F54AD">
      <w:pPr>
        <w:pStyle w:val="Standard"/>
        <w:spacing w:line="360" w:lineRule="auto"/>
        <w:jc w:val="both"/>
        <w:rPr>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r w:rsidR="007F54AD">
        <w:rPr>
          <w:color w:val="000000"/>
          <w:sz w:val="22"/>
          <w:szCs w:val="22"/>
        </w:rPr>
        <w:t xml:space="preserve"> Zabezpieczenie</w:t>
      </w:r>
      <w:r w:rsidR="007F54AD" w:rsidRPr="007F54AD">
        <w:rPr>
          <w:color w:val="000000"/>
          <w:sz w:val="22"/>
          <w:szCs w:val="22"/>
        </w:rPr>
        <w:t xml:space="preserve"> może być wniesione w jednej lub kilku formach wskazanych w art. </w:t>
      </w:r>
      <w:r w:rsidR="007F54AD">
        <w:rPr>
          <w:color w:val="000000"/>
          <w:sz w:val="22"/>
          <w:szCs w:val="22"/>
        </w:rPr>
        <w:t>450</w:t>
      </w:r>
      <w:r w:rsidR="007F54AD" w:rsidRPr="007F54AD">
        <w:rPr>
          <w:color w:val="000000"/>
          <w:sz w:val="22"/>
          <w:szCs w:val="22"/>
        </w:rPr>
        <w:t xml:space="preserve"> ust. </w:t>
      </w:r>
      <w:r w:rsidR="007F54AD">
        <w:rPr>
          <w:color w:val="000000"/>
          <w:sz w:val="22"/>
          <w:szCs w:val="22"/>
        </w:rPr>
        <w:t>1</w:t>
      </w:r>
      <w:r w:rsidR="007F54AD" w:rsidRPr="007F54AD">
        <w:rPr>
          <w:color w:val="000000"/>
          <w:sz w:val="22"/>
          <w:szCs w:val="22"/>
        </w:rPr>
        <w:t xml:space="preserve"> ustawy Pzp. </w:t>
      </w:r>
      <w:r w:rsidR="007F54AD">
        <w:rPr>
          <w:color w:val="000000"/>
          <w:sz w:val="22"/>
          <w:szCs w:val="22"/>
        </w:rPr>
        <w:t>Zabezpieczenie</w:t>
      </w:r>
      <w:r w:rsidR="007F54AD" w:rsidRPr="007F54AD">
        <w:rPr>
          <w:color w:val="000000"/>
          <w:sz w:val="22"/>
          <w:szCs w:val="22"/>
        </w:rPr>
        <w:t xml:space="preserve"> wnoszone w pieniądzu należy wpłacić przelewem na rachunek bankowy w banku Bank Spółdzielczy Brodnica/Oddział Górzno, nr rachunku: 78 9484 1150 2213 1300 1007 0005. </w:t>
      </w:r>
      <w:r w:rsidR="00B91AA1">
        <w:rPr>
          <w:color w:val="000000"/>
          <w:sz w:val="22"/>
          <w:szCs w:val="22"/>
        </w:rPr>
        <w:t xml:space="preserve"> </w:t>
      </w:r>
      <w:r w:rsidR="007F54AD">
        <w:rPr>
          <w:color w:val="000000"/>
          <w:sz w:val="22"/>
          <w:szCs w:val="22"/>
        </w:rPr>
        <w:t>Zabezpieczenie</w:t>
      </w:r>
      <w:r w:rsidR="007F54AD" w:rsidRPr="007F54AD">
        <w:rPr>
          <w:color w:val="000000"/>
          <w:sz w:val="22"/>
          <w:szCs w:val="22"/>
        </w:rPr>
        <w:t xml:space="preserve"> wnoszone w poręczeniach</w:t>
      </w:r>
      <w:r w:rsidR="00B91AA1">
        <w:rPr>
          <w:color w:val="000000"/>
          <w:sz w:val="22"/>
          <w:szCs w:val="22"/>
        </w:rPr>
        <w:t xml:space="preserve">, </w:t>
      </w:r>
      <w:r w:rsidR="007F54AD" w:rsidRPr="007F54AD">
        <w:rPr>
          <w:color w:val="000000"/>
          <w:sz w:val="22"/>
          <w:szCs w:val="22"/>
        </w:rPr>
        <w:t>gwarancjach</w:t>
      </w:r>
      <w:r w:rsidR="00B91AA1">
        <w:rPr>
          <w:color w:val="000000"/>
          <w:sz w:val="22"/>
          <w:szCs w:val="22"/>
        </w:rPr>
        <w:t xml:space="preserve"> lub wekslach</w:t>
      </w:r>
      <w:r w:rsidR="007F54AD" w:rsidRPr="007F54AD">
        <w:rPr>
          <w:color w:val="000000"/>
          <w:sz w:val="22"/>
          <w:szCs w:val="22"/>
        </w:rPr>
        <w:t xml:space="preserve"> należy </w:t>
      </w:r>
      <w:r w:rsidR="00B91AA1">
        <w:rPr>
          <w:color w:val="000000"/>
          <w:sz w:val="22"/>
          <w:szCs w:val="22"/>
        </w:rPr>
        <w:t>dostarczyć</w:t>
      </w:r>
      <w:r w:rsidR="007F54AD" w:rsidRPr="007F54AD">
        <w:rPr>
          <w:color w:val="000000"/>
          <w:sz w:val="22"/>
          <w:szCs w:val="22"/>
        </w:rPr>
        <w:t xml:space="preserve"> w oryginale w postaci dokumentu elektronicznego podpisanego kwalifikowanym podpisem elektronicznym przez wystawcę dokumentu i powinno zawierać następujące elementy: - nazwę </w:t>
      </w:r>
      <w:r w:rsidR="007F54AD" w:rsidRPr="007F54AD">
        <w:rPr>
          <w:color w:val="000000"/>
          <w:sz w:val="22"/>
          <w:szCs w:val="22"/>
        </w:rPr>
        <w:lastRenderedPageBreak/>
        <w:t>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r w:rsidR="00B91AA1">
        <w:rPr>
          <w:color w:val="000000"/>
          <w:sz w:val="22"/>
          <w:szCs w:val="22"/>
        </w:rPr>
        <w:t xml:space="preserve">. </w:t>
      </w:r>
    </w:p>
    <w:p w14:paraId="35B4DFA2" w14:textId="77777777" w:rsidR="007F54AD" w:rsidRPr="00F9033E" w:rsidRDefault="007F54AD" w:rsidP="004E08BC">
      <w:pPr>
        <w:pStyle w:val="Standard"/>
        <w:spacing w:line="360" w:lineRule="auto"/>
        <w:jc w:val="both"/>
        <w:rPr>
          <w:b/>
          <w:bCs/>
          <w:color w:val="000000"/>
          <w:sz w:val="22"/>
          <w:szCs w:val="22"/>
        </w:rPr>
      </w:pP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 xml:space="preserve">9. W postępowaniu toczącym się wskutek wniesienia skargi stosuje się odpowiednio przepisy ustawy                  </w:t>
      </w:r>
      <w:r w:rsidRPr="00F54DE8">
        <w:rPr>
          <w:sz w:val="22"/>
          <w:szCs w:val="22"/>
        </w:rPr>
        <w:lastRenderedPageBreak/>
        <w:t>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3A9E0D15"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EB24D0" w:rsidRPr="00EB24D0">
        <w:rPr>
          <w:b/>
          <w:iCs/>
          <w:sz w:val="22"/>
          <w:szCs w:val="22"/>
        </w:rPr>
        <w:t>Przebudowa drogi gminnej nr 080706C w miejscowości Zaborowo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w:t>
      </w:r>
      <w:r w:rsidRPr="00F54DE8">
        <w:rPr>
          <w:sz w:val="22"/>
          <w:szCs w:val="22"/>
        </w:rPr>
        <w:lastRenderedPageBreak/>
        <w:t xml:space="preserve">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4BBD36E4"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296F5D">
        <w:rPr>
          <w:b/>
          <w:i/>
          <w:sz w:val="22"/>
          <w:szCs w:val="22"/>
        </w:rPr>
        <w:t>a</w:t>
      </w:r>
      <w:r w:rsidRPr="00F54DE8">
        <w:rPr>
          <w:b/>
          <w:i/>
          <w:sz w:val="22"/>
          <w:szCs w:val="22"/>
        </w:rPr>
        <w:t xml:space="preserve"> projektow</w:t>
      </w:r>
      <w:r w:rsidR="00296F5D">
        <w:rPr>
          <w:b/>
          <w:i/>
          <w:sz w:val="22"/>
          <w:szCs w:val="22"/>
        </w:rPr>
        <w:t>a</w:t>
      </w:r>
    </w:p>
    <w:p w14:paraId="74759D77" w14:textId="7829F11F"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7F54AD"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25D39C40" w14:textId="53DAFB30" w:rsidR="007F54AD" w:rsidRPr="001515EA" w:rsidRDefault="007F54AD" w:rsidP="001515EA">
      <w:pPr>
        <w:pStyle w:val="Akapitzlist"/>
        <w:numPr>
          <w:ilvl w:val="0"/>
          <w:numId w:val="32"/>
        </w:numPr>
        <w:spacing w:after="150" w:line="360" w:lineRule="auto"/>
        <w:jc w:val="both"/>
        <w:rPr>
          <w:sz w:val="22"/>
          <w:szCs w:val="22"/>
        </w:rPr>
      </w:pPr>
      <w:r>
        <w:rPr>
          <w:b/>
          <w:i/>
          <w:sz w:val="22"/>
          <w:szCs w:val="22"/>
        </w:rPr>
        <w:t>Oświadczenie dot. agresji na Ukrainę</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186FD735" w:rsidR="00B159BF" w:rsidRPr="00F54DE8" w:rsidRDefault="0038765F">
      <w:pPr>
        <w:pStyle w:val="Standard"/>
        <w:spacing w:before="120" w:after="120" w:line="360" w:lineRule="auto"/>
        <w:rPr>
          <w:sz w:val="22"/>
          <w:szCs w:val="22"/>
        </w:rPr>
      </w:pPr>
      <w:r w:rsidRPr="00F54DE8">
        <w:rPr>
          <w:i/>
          <w:sz w:val="22"/>
          <w:szCs w:val="22"/>
        </w:rPr>
        <w:t>Łukasz Lachowski – inspektor ds. budownictwa</w:t>
      </w:r>
    </w:p>
    <w:p w14:paraId="2BA24B0B" w14:textId="5F26FFE4" w:rsidR="00B159BF" w:rsidRDefault="0038765F">
      <w:pPr>
        <w:pStyle w:val="Standard"/>
        <w:spacing w:before="120" w:after="120" w:line="360" w:lineRule="auto"/>
      </w:pPr>
      <w:r w:rsidRPr="00F54DE8">
        <w:rPr>
          <w:i/>
          <w:sz w:val="22"/>
          <w:szCs w:val="22"/>
        </w:rPr>
        <w:t xml:space="preserve">Agnieszka Nadolska – </w:t>
      </w:r>
      <w:r w:rsidR="00296F5D">
        <w:rPr>
          <w:i/>
          <w:sz w:val="22"/>
          <w:szCs w:val="22"/>
        </w:rPr>
        <w:t>kierownik Referatu Inwestycji i Gospodarki Komunalnej</w:t>
      </w:r>
    </w:p>
    <w:sectPr w:rsidR="00B159BF" w:rsidSect="00CE63FD">
      <w:headerReference w:type="default" r:id="rId11"/>
      <w:footerReference w:type="even" r:id="rId12"/>
      <w:footerReference w:type="default" r:id="rId13"/>
      <w:footerReference w:type="first" r:id="rId14"/>
      <w:pgSz w:w="11906" w:h="16838"/>
      <w:pgMar w:top="1135"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4C393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C756" w14:textId="12A7E9F8" w:rsidR="00CE63FD" w:rsidRPr="00CE63FD" w:rsidRDefault="00F506BC" w:rsidP="00CE63FD">
    <w:pPr>
      <w:pStyle w:val="Nagwek"/>
      <w:jc w:val="center"/>
      <w:rPr>
        <w:iCs/>
        <w:sz w:val="18"/>
        <w:szCs w:val="26"/>
      </w:rPr>
    </w:pPr>
    <w:r w:rsidRPr="00F506BC">
      <w:rPr>
        <w:sz w:val="18"/>
        <w:szCs w:val="18"/>
      </w:rPr>
      <w:t xml:space="preserve">IG.271.4.2025 </w:t>
    </w:r>
    <w:r w:rsidR="00CE63FD" w:rsidRPr="00F506BC">
      <w:rPr>
        <w:sz w:val="18"/>
        <w:szCs w:val="18"/>
      </w:rPr>
      <w:t xml:space="preserve">SWZ - </w:t>
    </w:r>
    <w:r w:rsidR="00CE63FD" w:rsidRPr="00F506BC">
      <w:rPr>
        <w:iCs/>
        <w:sz w:val="18"/>
        <w:szCs w:val="18"/>
      </w:rPr>
      <w:t>Przebudowa drogi</w:t>
    </w:r>
    <w:r w:rsidR="00CE63FD" w:rsidRPr="00CE63FD">
      <w:rPr>
        <w:iCs/>
        <w:sz w:val="18"/>
        <w:szCs w:val="26"/>
      </w:rPr>
      <w:t xml:space="preserve"> gminnej nr 080706C w miejscowości Zaborowo</w:t>
    </w:r>
  </w:p>
  <w:p w14:paraId="46BCC8D3" w14:textId="2E84FF2B" w:rsidR="00BB095D" w:rsidRDefault="00BB09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 w:numId="34" w16cid:durableId="314384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0B14"/>
    <w:rsid w:val="00027A3A"/>
    <w:rsid w:val="00030FD8"/>
    <w:rsid w:val="00033AD2"/>
    <w:rsid w:val="0004232E"/>
    <w:rsid w:val="000543D2"/>
    <w:rsid w:val="000563C9"/>
    <w:rsid w:val="0005795C"/>
    <w:rsid w:val="000609AC"/>
    <w:rsid w:val="000655A6"/>
    <w:rsid w:val="000660EB"/>
    <w:rsid w:val="0007224D"/>
    <w:rsid w:val="00076826"/>
    <w:rsid w:val="000770B5"/>
    <w:rsid w:val="00086A74"/>
    <w:rsid w:val="00087BB5"/>
    <w:rsid w:val="00091F90"/>
    <w:rsid w:val="00092953"/>
    <w:rsid w:val="000A6984"/>
    <w:rsid w:val="000A7402"/>
    <w:rsid w:val="000B7349"/>
    <w:rsid w:val="000C23F2"/>
    <w:rsid w:val="000C6321"/>
    <w:rsid w:val="000C6405"/>
    <w:rsid w:val="000C72B0"/>
    <w:rsid w:val="000D35AB"/>
    <w:rsid w:val="000D6429"/>
    <w:rsid w:val="000E3AD8"/>
    <w:rsid w:val="000F7480"/>
    <w:rsid w:val="001100CD"/>
    <w:rsid w:val="001420D8"/>
    <w:rsid w:val="00144D40"/>
    <w:rsid w:val="001515EA"/>
    <w:rsid w:val="00161E89"/>
    <w:rsid w:val="00165F16"/>
    <w:rsid w:val="0017219A"/>
    <w:rsid w:val="00186B60"/>
    <w:rsid w:val="00193C44"/>
    <w:rsid w:val="0019786F"/>
    <w:rsid w:val="001A0A95"/>
    <w:rsid w:val="001A1246"/>
    <w:rsid w:val="001A36B4"/>
    <w:rsid w:val="001A7E79"/>
    <w:rsid w:val="001B3A50"/>
    <w:rsid w:val="001C3332"/>
    <w:rsid w:val="001E2FB4"/>
    <w:rsid w:val="001E6A33"/>
    <w:rsid w:val="001F2C24"/>
    <w:rsid w:val="001F4382"/>
    <w:rsid w:val="001F73A2"/>
    <w:rsid w:val="00212AFA"/>
    <w:rsid w:val="00215542"/>
    <w:rsid w:val="00221868"/>
    <w:rsid w:val="00226B1F"/>
    <w:rsid w:val="00230552"/>
    <w:rsid w:val="002317CA"/>
    <w:rsid w:val="00233089"/>
    <w:rsid w:val="0023480E"/>
    <w:rsid w:val="00254B17"/>
    <w:rsid w:val="002719B1"/>
    <w:rsid w:val="0027764E"/>
    <w:rsid w:val="00280175"/>
    <w:rsid w:val="00296F5D"/>
    <w:rsid w:val="002A09B6"/>
    <w:rsid w:val="002B599E"/>
    <w:rsid w:val="002C18BF"/>
    <w:rsid w:val="002C2BA2"/>
    <w:rsid w:val="002C4CBF"/>
    <w:rsid w:val="002C7A94"/>
    <w:rsid w:val="002D2E6E"/>
    <w:rsid w:val="002D4CE5"/>
    <w:rsid w:val="002D559A"/>
    <w:rsid w:val="002E08D8"/>
    <w:rsid w:val="002E481B"/>
    <w:rsid w:val="002E7F38"/>
    <w:rsid w:val="002F6AE9"/>
    <w:rsid w:val="003047C1"/>
    <w:rsid w:val="00305F41"/>
    <w:rsid w:val="00313FEF"/>
    <w:rsid w:val="00340CA0"/>
    <w:rsid w:val="003435CB"/>
    <w:rsid w:val="00353D73"/>
    <w:rsid w:val="00357D24"/>
    <w:rsid w:val="003663D6"/>
    <w:rsid w:val="0037756C"/>
    <w:rsid w:val="0038765F"/>
    <w:rsid w:val="003A2D71"/>
    <w:rsid w:val="003A56A7"/>
    <w:rsid w:val="003B0A20"/>
    <w:rsid w:val="003B1138"/>
    <w:rsid w:val="003B6D30"/>
    <w:rsid w:val="003D4661"/>
    <w:rsid w:val="003D5622"/>
    <w:rsid w:val="003E1999"/>
    <w:rsid w:val="003E1D82"/>
    <w:rsid w:val="003E5A85"/>
    <w:rsid w:val="003F1345"/>
    <w:rsid w:val="004046B1"/>
    <w:rsid w:val="0041042C"/>
    <w:rsid w:val="00437A31"/>
    <w:rsid w:val="00442555"/>
    <w:rsid w:val="004478E1"/>
    <w:rsid w:val="004530B3"/>
    <w:rsid w:val="004551B5"/>
    <w:rsid w:val="00463230"/>
    <w:rsid w:val="00474C7A"/>
    <w:rsid w:val="00481F8D"/>
    <w:rsid w:val="00483D30"/>
    <w:rsid w:val="004A21C0"/>
    <w:rsid w:val="004C1C4A"/>
    <w:rsid w:val="004C393B"/>
    <w:rsid w:val="004C3C86"/>
    <w:rsid w:val="004D1AE4"/>
    <w:rsid w:val="004E08BC"/>
    <w:rsid w:val="004F6086"/>
    <w:rsid w:val="005015F8"/>
    <w:rsid w:val="0050190B"/>
    <w:rsid w:val="005037AB"/>
    <w:rsid w:val="00510AA0"/>
    <w:rsid w:val="00513508"/>
    <w:rsid w:val="00514AA6"/>
    <w:rsid w:val="00520EB7"/>
    <w:rsid w:val="005272CA"/>
    <w:rsid w:val="00535970"/>
    <w:rsid w:val="00550CA5"/>
    <w:rsid w:val="0055727D"/>
    <w:rsid w:val="005636A8"/>
    <w:rsid w:val="0056779C"/>
    <w:rsid w:val="005720B5"/>
    <w:rsid w:val="00583BCE"/>
    <w:rsid w:val="00584033"/>
    <w:rsid w:val="00584791"/>
    <w:rsid w:val="00592394"/>
    <w:rsid w:val="00592DEB"/>
    <w:rsid w:val="00593B62"/>
    <w:rsid w:val="00594966"/>
    <w:rsid w:val="005A54B9"/>
    <w:rsid w:val="005B5E33"/>
    <w:rsid w:val="005C3CC2"/>
    <w:rsid w:val="005D2B7E"/>
    <w:rsid w:val="005D6630"/>
    <w:rsid w:val="005F526B"/>
    <w:rsid w:val="00603C45"/>
    <w:rsid w:val="0060415F"/>
    <w:rsid w:val="00606EFA"/>
    <w:rsid w:val="00611EAB"/>
    <w:rsid w:val="00612244"/>
    <w:rsid w:val="00613526"/>
    <w:rsid w:val="00614CCB"/>
    <w:rsid w:val="006202BC"/>
    <w:rsid w:val="00621DFB"/>
    <w:rsid w:val="0062567D"/>
    <w:rsid w:val="00635884"/>
    <w:rsid w:val="00640C56"/>
    <w:rsid w:val="00641276"/>
    <w:rsid w:val="006577FE"/>
    <w:rsid w:val="006651F3"/>
    <w:rsid w:val="00666D05"/>
    <w:rsid w:val="006829FD"/>
    <w:rsid w:val="006900F8"/>
    <w:rsid w:val="006965C2"/>
    <w:rsid w:val="006B2B8D"/>
    <w:rsid w:val="006B33CF"/>
    <w:rsid w:val="006B3B4C"/>
    <w:rsid w:val="006C1E2B"/>
    <w:rsid w:val="006C2E56"/>
    <w:rsid w:val="006E2AEC"/>
    <w:rsid w:val="006E401D"/>
    <w:rsid w:val="006E5C24"/>
    <w:rsid w:val="006E6B9E"/>
    <w:rsid w:val="006E7C5C"/>
    <w:rsid w:val="006F68A7"/>
    <w:rsid w:val="007144A2"/>
    <w:rsid w:val="007335DC"/>
    <w:rsid w:val="00734BF2"/>
    <w:rsid w:val="00742DAA"/>
    <w:rsid w:val="0074366C"/>
    <w:rsid w:val="00774443"/>
    <w:rsid w:val="007814C0"/>
    <w:rsid w:val="00787DBC"/>
    <w:rsid w:val="00793419"/>
    <w:rsid w:val="0079507D"/>
    <w:rsid w:val="007A1190"/>
    <w:rsid w:val="007D0FD1"/>
    <w:rsid w:val="007D3F1D"/>
    <w:rsid w:val="007F54AD"/>
    <w:rsid w:val="00801D36"/>
    <w:rsid w:val="00804D4D"/>
    <w:rsid w:val="008171AB"/>
    <w:rsid w:val="00824128"/>
    <w:rsid w:val="00834A82"/>
    <w:rsid w:val="0084571C"/>
    <w:rsid w:val="008529EC"/>
    <w:rsid w:val="0086597F"/>
    <w:rsid w:val="00872B80"/>
    <w:rsid w:val="008739CD"/>
    <w:rsid w:val="00884C56"/>
    <w:rsid w:val="00891ACA"/>
    <w:rsid w:val="008933F5"/>
    <w:rsid w:val="00895CA2"/>
    <w:rsid w:val="008B0049"/>
    <w:rsid w:val="008B0A5C"/>
    <w:rsid w:val="008B5A44"/>
    <w:rsid w:val="008B5CCC"/>
    <w:rsid w:val="008C2E0F"/>
    <w:rsid w:val="008C57D8"/>
    <w:rsid w:val="008C5C37"/>
    <w:rsid w:val="008D2CBA"/>
    <w:rsid w:val="008D5241"/>
    <w:rsid w:val="008D7A0B"/>
    <w:rsid w:val="008E3AAB"/>
    <w:rsid w:val="008E54A2"/>
    <w:rsid w:val="008F3762"/>
    <w:rsid w:val="008F6B00"/>
    <w:rsid w:val="00911DD5"/>
    <w:rsid w:val="00934322"/>
    <w:rsid w:val="00936FEB"/>
    <w:rsid w:val="009417E6"/>
    <w:rsid w:val="00952A38"/>
    <w:rsid w:val="009549D6"/>
    <w:rsid w:val="00957C02"/>
    <w:rsid w:val="00962A46"/>
    <w:rsid w:val="009657A0"/>
    <w:rsid w:val="009922B6"/>
    <w:rsid w:val="009B225D"/>
    <w:rsid w:val="009B5B63"/>
    <w:rsid w:val="009C0484"/>
    <w:rsid w:val="009C6CC0"/>
    <w:rsid w:val="009D21C9"/>
    <w:rsid w:val="009E3228"/>
    <w:rsid w:val="009E77AC"/>
    <w:rsid w:val="00A00035"/>
    <w:rsid w:val="00A0191E"/>
    <w:rsid w:val="00A059F9"/>
    <w:rsid w:val="00A159C3"/>
    <w:rsid w:val="00A30AC5"/>
    <w:rsid w:val="00A34919"/>
    <w:rsid w:val="00A6140E"/>
    <w:rsid w:val="00A964A0"/>
    <w:rsid w:val="00A96E08"/>
    <w:rsid w:val="00AA0305"/>
    <w:rsid w:val="00AA2371"/>
    <w:rsid w:val="00AA2E0C"/>
    <w:rsid w:val="00AA6E87"/>
    <w:rsid w:val="00AB5AF3"/>
    <w:rsid w:val="00AC53C7"/>
    <w:rsid w:val="00AE0648"/>
    <w:rsid w:val="00AF253B"/>
    <w:rsid w:val="00AF6D04"/>
    <w:rsid w:val="00B0296F"/>
    <w:rsid w:val="00B068B0"/>
    <w:rsid w:val="00B159BF"/>
    <w:rsid w:val="00B33854"/>
    <w:rsid w:val="00B40144"/>
    <w:rsid w:val="00B54CBD"/>
    <w:rsid w:val="00B55C46"/>
    <w:rsid w:val="00B630C4"/>
    <w:rsid w:val="00B6791C"/>
    <w:rsid w:val="00B807C4"/>
    <w:rsid w:val="00B81A92"/>
    <w:rsid w:val="00B84AC5"/>
    <w:rsid w:val="00B862D5"/>
    <w:rsid w:val="00B862FD"/>
    <w:rsid w:val="00B8725A"/>
    <w:rsid w:val="00B91AA1"/>
    <w:rsid w:val="00B94E8E"/>
    <w:rsid w:val="00BA788F"/>
    <w:rsid w:val="00BB095D"/>
    <w:rsid w:val="00BB21C1"/>
    <w:rsid w:val="00BB3ED1"/>
    <w:rsid w:val="00BB6E05"/>
    <w:rsid w:val="00BC243C"/>
    <w:rsid w:val="00BD2472"/>
    <w:rsid w:val="00BD5A37"/>
    <w:rsid w:val="00BE11FE"/>
    <w:rsid w:val="00BF68BB"/>
    <w:rsid w:val="00C31BE4"/>
    <w:rsid w:val="00C42EB7"/>
    <w:rsid w:val="00C46D3A"/>
    <w:rsid w:val="00C507FF"/>
    <w:rsid w:val="00C54A7C"/>
    <w:rsid w:val="00C667E3"/>
    <w:rsid w:val="00C739E9"/>
    <w:rsid w:val="00C77A35"/>
    <w:rsid w:val="00C911A7"/>
    <w:rsid w:val="00CA26F1"/>
    <w:rsid w:val="00CA62D3"/>
    <w:rsid w:val="00CA6321"/>
    <w:rsid w:val="00CB0439"/>
    <w:rsid w:val="00CB2AF4"/>
    <w:rsid w:val="00CB3FB9"/>
    <w:rsid w:val="00CB5899"/>
    <w:rsid w:val="00CC501F"/>
    <w:rsid w:val="00CE0F05"/>
    <w:rsid w:val="00CE63FD"/>
    <w:rsid w:val="00CF5F5A"/>
    <w:rsid w:val="00D03656"/>
    <w:rsid w:val="00D07D5C"/>
    <w:rsid w:val="00D11D72"/>
    <w:rsid w:val="00D273E5"/>
    <w:rsid w:val="00D43413"/>
    <w:rsid w:val="00D52A9B"/>
    <w:rsid w:val="00D63563"/>
    <w:rsid w:val="00D8388B"/>
    <w:rsid w:val="00D86027"/>
    <w:rsid w:val="00DB2ED4"/>
    <w:rsid w:val="00DB429A"/>
    <w:rsid w:val="00DB625C"/>
    <w:rsid w:val="00DC2FF8"/>
    <w:rsid w:val="00DD081E"/>
    <w:rsid w:val="00DE0D73"/>
    <w:rsid w:val="00DF293F"/>
    <w:rsid w:val="00DF6E47"/>
    <w:rsid w:val="00E02C83"/>
    <w:rsid w:val="00E0519F"/>
    <w:rsid w:val="00E0667E"/>
    <w:rsid w:val="00E14141"/>
    <w:rsid w:val="00E14EF4"/>
    <w:rsid w:val="00E16F63"/>
    <w:rsid w:val="00E313F8"/>
    <w:rsid w:val="00E427CD"/>
    <w:rsid w:val="00E43576"/>
    <w:rsid w:val="00E5063F"/>
    <w:rsid w:val="00E57118"/>
    <w:rsid w:val="00E70B98"/>
    <w:rsid w:val="00E72F13"/>
    <w:rsid w:val="00E84519"/>
    <w:rsid w:val="00E92E8B"/>
    <w:rsid w:val="00E96C1C"/>
    <w:rsid w:val="00EA2AA2"/>
    <w:rsid w:val="00EA7182"/>
    <w:rsid w:val="00EB1F86"/>
    <w:rsid w:val="00EB24D0"/>
    <w:rsid w:val="00EB66E5"/>
    <w:rsid w:val="00EB7FE5"/>
    <w:rsid w:val="00EC4360"/>
    <w:rsid w:val="00ED396C"/>
    <w:rsid w:val="00ED3E6C"/>
    <w:rsid w:val="00F21FB3"/>
    <w:rsid w:val="00F42808"/>
    <w:rsid w:val="00F506BC"/>
    <w:rsid w:val="00F54DE8"/>
    <w:rsid w:val="00F63B76"/>
    <w:rsid w:val="00F65B0D"/>
    <w:rsid w:val="00F7058F"/>
    <w:rsid w:val="00F71FE9"/>
    <w:rsid w:val="00F73583"/>
    <w:rsid w:val="00F9033E"/>
    <w:rsid w:val="00FC144B"/>
    <w:rsid w:val="00FC2F6F"/>
    <w:rsid w:val="00FC3172"/>
    <w:rsid w:val="00FC3DF8"/>
    <w:rsid w:val="00FD0BB8"/>
    <w:rsid w:val="00FE305D"/>
    <w:rsid w:val="00FF0DF3"/>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10458</Words>
  <Characters>62750</Characters>
  <Application>Microsoft Office Word</Application>
  <DocSecurity>0</DocSecurity>
  <Lines>522</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6</cp:revision>
  <cp:lastPrinted>2025-06-13T10:50:00Z</cp:lastPrinted>
  <dcterms:created xsi:type="dcterms:W3CDTF">2025-06-16T07:58:00Z</dcterms:created>
  <dcterms:modified xsi:type="dcterms:W3CDTF">2025-06-16T09:10:00Z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