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2196B">
        <w:rPr>
          <w:b/>
        </w:rPr>
        <w:t>Zdravotnícky materiál pre zaistenie dýchacích ciest</w:t>
      </w:r>
      <w:r w:rsidR="00E72CA8">
        <w:rPr>
          <w:b/>
        </w:rPr>
        <w:t xml:space="preserve"> – Kyslíková terapia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lastRenderedPageBreak/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</w:t>
      </w:r>
      <w:r w:rsidRPr="009E1362">
        <w:lastRenderedPageBreak/>
        <w:t xml:space="preserve">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E72CA8" w:rsidRPr="00E72CA8" w:rsidRDefault="00E72CA8" w:rsidP="00E72CA8">
      <w:pPr>
        <w:pStyle w:val="Odsekzoznamu"/>
        <w:numPr>
          <w:ilvl w:val="1"/>
          <w:numId w:val="45"/>
        </w:numPr>
        <w:tabs>
          <w:tab w:val="left" w:pos="567"/>
        </w:tabs>
        <w:suppressAutoHyphens/>
        <w:spacing w:after="120"/>
        <w:ind w:left="567" w:hanging="567"/>
        <w:jc w:val="both"/>
      </w:pPr>
      <w:r w:rsidRPr="00E72CA8">
        <w:t>V zmysle Príkazu ministra zdravotníctva SR č. 10/2025 účinného odo dňa 01.06. 2025 sa zmluvné strany zaväzujú k plneniu nasledujúcich povinností:</w:t>
      </w:r>
    </w:p>
    <w:p w:rsidR="00E72CA8" w:rsidRPr="00E72CA8" w:rsidRDefault="00E72CA8" w:rsidP="00E72CA8">
      <w:pPr>
        <w:pStyle w:val="Odsekzoznamu"/>
        <w:numPr>
          <w:ilvl w:val="2"/>
          <w:numId w:val="46"/>
        </w:numPr>
        <w:tabs>
          <w:tab w:val="left" w:pos="567"/>
        </w:tabs>
        <w:suppressAutoHyphens/>
        <w:spacing w:after="120"/>
        <w:ind w:left="1418" w:hanging="851"/>
        <w:contextualSpacing/>
        <w:jc w:val="both"/>
      </w:pPr>
      <w:r w:rsidRPr="00E72CA8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72CA8">
        <w:t>ust</w:t>
      </w:r>
      <w:proofErr w:type="spellEnd"/>
      <w:r w:rsidRPr="00E72CA8">
        <w:t>. § 524 a </w:t>
      </w:r>
      <w:proofErr w:type="spellStart"/>
      <w:r w:rsidRPr="00E72CA8">
        <w:t>nasl</w:t>
      </w:r>
      <w:proofErr w:type="spellEnd"/>
      <w:r w:rsidRPr="00E72CA8">
        <w:t xml:space="preserve">. zákona č. 40/1964 Zb. Občianskeho zákonníka v znení neskorších predpisov, pričom na platnosť predchádzajúceho písomného súhlasu kupujúceho s postúpením pohľadávky na tretiu osobu sa vyžaduje predchádzajúci písomný súhlas Ministerstva zdravotníctva SR. Postúpenie pohľadávky na tretiu osobu v rozpore s predchádzajúcou vetou je podľa ustanovenia </w:t>
      </w:r>
      <w:proofErr w:type="spellStart"/>
      <w:r w:rsidRPr="00E72CA8">
        <w:t>ust</w:t>
      </w:r>
      <w:proofErr w:type="spellEnd"/>
      <w:r w:rsidRPr="00E72CA8">
        <w:t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zmluvy vylučuje možnosť podmieniť postúpenie pohľadávky súhlasom kupujúceho ako dlžníka.</w:t>
      </w:r>
    </w:p>
    <w:p w:rsidR="00E72CA8" w:rsidRPr="00E72CA8" w:rsidRDefault="00E72CA8" w:rsidP="00E72CA8">
      <w:pPr>
        <w:pStyle w:val="Odsekzoznamu"/>
        <w:numPr>
          <w:ilvl w:val="2"/>
          <w:numId w:val="47"/>
        </w:numPr>
        <w:tabs>
          <w:tab w:val="left" w:pos="1418"/>
        </w:tabs>
        <w:suppressAutoHyphens/>
        <w:spacing w:after="120"/>
        <w:ind w:left="1418" w:hanging="851"/>
        <w:jc w:val="both"/>
      </w:pPr>
      <w:r w:rsidRPr="00E72CA8">
        <w:t xml:space="preserve">Predávajúci môže prijať vyhlásenie podľa </w:t>
      </w:r>
      <w:proofErr w:type="spellStart"/>
      <w:r w:rsidRPr="00E72CA8">
        <w:t>ust</w:t>
      </w:r>
      <w:proofErr w:type="spellEnd"/>
      <w:r w:rsidRPr="00E72CA8">
        <w:t xml:space="preserve">. § 303 a </w:t>
      </w:r>
      <w:proofErr w:type="spellStart"/>
      <w:r w:rsidRPr="00E72CA8">
        <w:t>nasl</w:t>
      </w:r>
      <w:proofErr w:type="spellEnd"/>
      <w:r w:rsidRPr="00E72CA8">
        <w:t xml:space="preserve">. zákona č. 513/1991 Zb. Obchodného zákonníka v znení neskorších predpisov len na základe uzatvorenej písomnej dohody v súlade s § 91 ods. 3 zákona č. 578/2004 </w:t>
      </w:r>
      <w:proofErr w:type="spellStart"/>
      <w:r w:rsidRPr="00E72CA8">
        <w:t>Z.z</w:t>
      </w:r>
      <w:proofErr w:type="spellEnd"/>
      <w:r w:rsidRPr="00E72CA8">
        <w:t xml:space="preserve">., inak je ručenie neplatné podľa </w:t>
      </w:r>
      <w:proofErr w:type="spellStart"/>
      <w:r w:rsidRPr="00E72CA8">
        <w:t>ust</w:t>
      </w:r>
      <w:proofErr w:type="spellEnd"/>
      <w:r w:rsidRPr="00E72CA8">
        <w:t>. § 39 zákona č. 40/1964 Zb. Občianskeho zákonníka v znení neskorších predpisov. Zabezpečenie pohľadávok podľa predchádzajúcej vety je možné len po predchádzajúcom písomnom súhlase Ministerstva zdravotníctva SR.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E72CA8" w:rsidRPr="00E72CA8" w:rsidRDefault="00E72CA8" w:rsidP="00E72CA8">
      <w:pPr>
        <w:pStyle w:val="Odsekzoznamu"/>
        <w:numPr>
          <w:ilvl w:val="1"/>
          <w:numId w:val="47"/>
        </w:numPr>
        <w:tabs>
          <w:tab w:val="left" w:pos="709"/>
        </w:tabs>
        <w:suppressAutoHyphens/>
        <w:ind w:left="709" w:hanging="709"/>
        <w:jc w:val="both"/>
      </w:pPr>
      <w:r w:rsidRPr="00E72CA8">
        <w:rPr>
          <w:lang w:val="pl-PL"/>
        </w:rPr>
        <w:lastRenderedPageBreak/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 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9F20B1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C507A3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B4F" w:rsidRDefault="006E3B4F" w:rsidP="00CC0E72">
      <w:r>
        <w:separator/>
      </w:r>
    </w:p>
  </w:endnote>
  <w:endnote w:type="continuationSeparator" w:id="0">
    <w:p w:rsidR="006E3B4F" w:rsidRDefault="006E3B4F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40" w:rsidRDefault="00FE3A18" w:rsidP="005510D7">
    <w:pPr>
      <w:pStyle w:val="Pta"/>
      <w:jc w:val="right"/>
    </w:pPr>
    <w:fldSimple w:instr=" PAGE   \* MERGEFORMAT ">
      <w:r w:rsidR="00E72CA8">
        <w:rPr>
          <w:noProof/>
        </w:rPr>
        <w:t>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B4F" w:rsidRDefault="006E3B4F" w:rsidP="00CC0E72">
      <w:r>
        <w:separator/>
      </w:r>
    </w:p>
  </w:footnote>
  <w:footnote w:type="continuationSeparator" w:id="0">
    <w:p w:rsidR="006E3B4F" w:rsidRDefault="006E3B4F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B1965"/>
    <w:multiLevelType w:val="multilevel"/>
    <w:tmpl w:val="BADAF06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5548DC"/>
    <w:multiLevelType w:val="multilevel"/>
    <w:tmpl w:val="D694AC8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2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3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8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0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41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D5E99"/>
    <w:multiLevelType w:val="multilevel"/>
    <w:tmpl w:val="53FEAFD6"/>
    <w:lvl w:ilvl="0">
      <w:start w:val="11"/>
      <w:numFmt w:val="decimal"/>
      <w:lvlText w:val="%1"/>
      <w:lvlJc w:val="left"/>
      <w:pPr>
        <w:ind w:left="421" w:hanging="421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101" w:hanging="421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44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5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9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3"/>
  </w:num>
  <w:num w:numId="7">
    <w:abstractNumId w:val="30"/>
  </w:num>
  <w:num w:numId="8">
    <w:abstractNumId w:val="1"/>
  </w:num>
  <w:num w:numId="9">
    <w:abstractNumId w:val="41"/>
  </w:num>
  <w:num w:numId="10">
    <w:abstractNumId w:val="45"/>
  </w:num>
  <w:num w:numId="11">
    <w:abstractNumId w:val="7"/>
  </w:num>
  <w:num w:numId="12">
    <w:abstractNumId w:val="13"/>
  </w:num>
  <w:num w:numId="13">
    <w:abstractNumId w:val="46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8"/>
  </w:num>
  <w:num w:numId="25">
    <w:abstractNumId w:val="17"/>
  </w:num>
  <w:num w:numId="26">
    <w:abstractNumId w:val="15"/>
  </w:num>
  <w:num w:numId="27">
    <w:abstractNumId w:val="9"/>
  </w:num>
  <w:num w:numId="28">
    <w:abstractNumId w:val="36"/>
  </w:num>
  <w:num w:numId="29">
    <w:abstractNumId w:val="0"/>
  </w:num>
  <w:num w:numId="30">
    <w:abstractNumId w:val="37"/>
  </w:num>
  <w:num w:numId="31">
    <w:abstractNumId w:val="12"/>
  </w:num>
  <w:num w:numId="32">
    <w:abstractNumId w:val="25"/>
  </w:num>
  <w:num w:numId="33">
    <w:abstractNumId w:val="22"/>
  </w:num>
  <w:num w:numId="34">
    <w:abstractNumId w:val="35"/>
  </w:num>
  <w:num w:numId="35">
    <w:abstractNumId w:val="40"/>
  </w:num>
  <w:num w:numId="36">
    <w:abstractNumId w:val="29"/>
  </w:num>
  <w:num w:numId="37">
    <w:abstractNumId w:val="42"/>
  </w:num>
  <w:num w:numId="38">
    <w:abstractNumId w:val="2"/>
  </w:num>
  <w:num w:numId="39">
    <w:abstractNumId w:val="19"/>
  </w:num>
  <w:num w:numId="40">
    <w:abstractNumId w:val="44"/>
  </w:num>
  <w:num w:numId="41">
    <w:abstractNumId w:val="21"/>
  </w:num>
  <w:num w:numId="42">
    <w:abstractNumId w:val="10"/>
  </w:num>
  <w:num w:numId="43">
    <w:abstractNumId w:val="32"/>
  </w:num>
  <w:num w:numId="44">
    <w:abstractNumId w:val="34"/>
  </w:num>
  <w:num w:numId="45">
    <w:abstractNumId w:val="43"/>
  </w:num>
  <w:num w:numId="46">
    <w:abstractNumId w:val="31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8502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3B4F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2CA8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E3A18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B4678-2467-4420-97E9-4476835E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7</cp:revision>
  <cp:lastPrinted>2024-10-30T08:55:00Z</cp:lastPrinted>
  <dcterms:created xsi:type="dcterms:W3CDTF">2025-01-29T10:56:00Z</dcterms:created>
  <dcterms:modified xsi:type="dcterms:W3CDTF">2025-07-08T08:25:00Z</dcterms:modified>
</cp:coreProperties>
</file>