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B" w:rsidRPr="008B691B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691B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:rsidR="00F66BA4" w:rsidRPr="00F61628" w:rsidRDefault="00F66BA4" w:rsidP="00F66BA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DA5448" w:rsidRPr="00F61628" w:rsidRDefault="00DA5448" w:rsidP="00F66BA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C48F9" w:rsidRPr="008B691B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8B691B">
        <w:rPr>
          <w:rFonts w:ascii="Times New Roman" w:hAnsi="Times New Roman" w:cs="Times New Roman"/>
          <w:b/>
          <w:sz w:val="24"/>
          <w:szCs w:val="24"/>
        </w:rPr>
        <w:t>:</w:t>
      </w:r>
      <w:r w:rsidR="000C48F9" w:rsidRPr="008B691B">
        <w:rPr>
          <w:rFonts w:ascii="Times New Roman" w:hAnsi="Times New Roman" w:cs="Times New Roman"/>
          <w:sz w:val="24"/>
          <w:szCs w:val="24"/>
        </w:rPr>
        <w:t xml:space="preserve"> „</w:t>
      </w:r>
      <w:r w:rsidR="00866EC1" w:rsidRPr="008B691B">
        <w:rPr>
          <w:rFonts w:ascii="Times New Roman" w:hAnsi="Times New Roman" w:cs="Times New Roman"/>
          <w:sz w:val="24"/>
          <w:szCs w:val="24"/>
        </w:rPr>
        <w:t>Suchý termostat</w:t>
      </w:r>
      <w:r w:rsidR="000C48F9" w:rsidRPr="008B691B">
        <w:rPr>
          <w:rFonts w:ascii="Times New Roman" w:hAnsi="Times New Roman" w:cs="Times New Roman"/>
          <w:sz w:val="24"/>
          <w:szCs w:val="24"/>
        </w:rPr>
        <w:t>“</w:t>
      </w:r>
    </w:p>
    <w:p w:rsidR="000C48F9" w:rsidRPr="008B691B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8B691B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8B691B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Pr="008B691B">
        <w:rPr>
          <w:rFonts w:ascii="Times New Roman" w:hAnsi="Times New Roman" w:cs="Times New Roman"/>
          <w:b/>
          <w:sz w:val="24"/>
          <w:szCs w:val="24"/>
        </w:rPr>
        <w:t>:</w:t>
      </w:r>
    </w:p>
    <w:p w:rsidR="00866EC1" w:rsidRPr="008B691B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8B691B">
        <w:rPr>
          <w:rFonts w:ascii="Times New Roman" w:hAnsi="Times New Roman" w:cs="Times New Roman"/>
          <w:sz w:val="24"/>
          <w:szCs w:val="24"/>
        </w:rPr>
        <w:t xml:space="preserve">zakúpenie </w:t>
      </w:r>
      <w:r w:rsidR="00866EC1" w:rsidRPr="008B691B">
        <w:rPr>
          <w:rFonts w:ascii="Times New Roman" w:hAnsi="Times New Roman" w:cs="Times New Roman"/>
          <w:sz w:val="24"/>
          <w:szCs w:val="24"/>
        </w:rPr>
        <w:t>laboratórneho termostatu pre tepelné namáhanie vzoriek</w:t>
      </w:r>
      <w:r w:rsidR="007A5D14" w:rsidRPr="008B691B">
        <w:rPr>
          <w:rFonts w:ascii="Times New Roman" w:hAnsi="Times New Roman" w:cs="Times New Roman"/>
          <w:sz w:val="24"/>
          <w:szCs w:val="24"/>
        </w:rPr>
        <w:t xml:space="preserve"> </w:t>
      </w:r>
      <w:r w:rsidR="0082472C" w:rsidRPr="008B691B">
        <w:rPr>
          <w:rFonts w:ascii="Times New Roman" w:hAnsi="Times New Roman" w:cs="Times New Roman"/>
          <w:sz w:val="24"/>
          <w:szCs w:val="24"/>
        </w:rPr>
        <w:t>suchým ohrevom a chladením</w:t>
      </w:r>
      <w:r w:rsidR="00866EC1" w:rsidRPr="008B691B">
        <w:rPr>
          <w:rFonts w:ascii="Times New Roman" w:hAnsi="Times New Roman" w:cs="Times New Roman"/>
          <w:sz w:val="24"/>
          <w:szCs w:val="24"/>
        </w:rPr>
        <w:t xml:space="preserve">. Účelom použitia je spracovanie vzoriek tepelným namáhaním pre dosiahnutie termodesorpcie, zahustenia, sušenia alebo vymrazenia vodnej zložky zmesi. Zámerom je použitie tohto pomocného prístroja </w:t>
      </w:r>
      <w:r w:rsidR="000C48F9" w:rsidRPr="008B691B">
        <w:rPr>
          <w:rFonts w:ascii="Times New Roman" w:hAnsi="Times New Roman" w:cs="Times New Roman"/>
          <w:sz w:val="24"/>
          <w:szCs w:val="24"/>
        </w:rPr>
        <w:t>pre potreby k</w:t>
      </w:r>
      <w:r w:rsidR="00F23728" w:rsidRPr="008B691B">
        <w:rPr>
          <w:rFonts w:ascii="Times New Roman" w:hAnsi="Times New Roman" w:cs="Times New Roman"/>
          <w:sz w:val="24"/>
          <w:szCs w:val="24"/>
        </w:rPr>
        <w:t xml:space="preserve">ontrolných chemických laboratórií civilnej ochrany sekcie krízového riadenia </w:t>
      </w:r>
      <w:r w:rsidR="000C48F9" w:rsidRPr="008B691B">
        <w:rPr>
          <w:rFonts w:ascii="Times New Roman" w:hAnsi="Times New Roman" w:cs="Times New Roman"/>
          <w:sz w:val="24"/>
          <w:szCs w:val="24"/>
        </w:rPr>
        <w:t>Ministerstva vnútra Slovenskej republiky</w:t>
      </w:r>
      <w:r w:rsidR="00F23728" w:rsidRPr="008B691B">
        <w:rPr>
          <w:rFonts w:ascii="Times New Roman" w:hAnsi="Times New Roman" w:cs="Times New Roman"/>
          <w:sz w:val="24"/>
          <w:szCs w:val="24"/>
        </w:rPr>
        <w:t xml:space="preserve"> </w:t>
      </w:r>
      <w:r w:rsidR="00866EC1" w:rsidRPr="008B691B">
        <w:rPr>
          <w:rFonts w:ascii="Times New Roman" w:hAnsi="Times New Roman" w:cs="Times New Roman"/>
          <w:sz w:val="24"/>
          <w:szCs w:val="24"/>
        </w:rPr>
        <w:t xml:space="preserve">v podmienkach laboratória alebo výjazdu. </w:t>
      </w:r>
    </w:p>
    <w:p w:rsidR="000C48F9" w:rsidRPr="008B691B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>Tovar sa obstaráva v celkovom počte 3 ks, čo zahŕňa 1 ks pre každé jedno pracovisko kontrolného chemického laboratória civilnej ochrany sekcie krízového riadenia Ministerstva vnútra Slovenskej republiky.</w:t>
      </w:r>
    </w:p>
    <w:p w:rsidR="00020323" w:rsidRPr="008B691B" w:rsidRDefault="00020323" w:rsidP="00F66BA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8B691B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="00020323" w:rsidRPr="008B6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PV</w:t>
      </w:r>
      <w:r w:rsidR="00020323" w:rsidRPr="008B691B">
        <w:rPr>
          <w:rFonts w:ascii="Times New Roman" w:hAnsi="Times New Roman" w:cs="Times New Roman"/>
          <w:b/>
          <w:sz w:val="24"/>
          <w:szCs w:val="24"/>
        </w:rPr>
        <w:t>:</w:t>
      </w:r>
    </w:p>
    <w:p w:rsidR="00751DCC" w:rsidRPr="008B691B" w:rsidRDefault="00751DCC" w:rsidP="00751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>38000000-5</w:t>
      </w:r>
      <w:r w:rsidRPr="008B691B">
        <w:rPr>
          <w:rFonts w:ascii="Times New Roman" w:hAnsi="Times New Roman" w:cs="Times New Roman"/>
          <w:sz w:val="24"/>
          <w:szCs w:val="24"/>
        </w:rPr>
        <w:tab/>
        <w:t xml:space="preserve">Laboratórne, optické a presné prístroje a vybavenie (s výnimkou skiel) </w:t>
      </w:r>
    </w:p>
    <w:p w:rsidR="005E2B84" w:rsidRPr="008B691B" w:rsidRDefault="005E2B84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>42940000-7</w:t>
      </w:r>
      <w:r w:rsidR="000C48F9" w:rsidRPr="008B691B">
        <w:rPr>
          <w:rFonts w:ascii="Times New Roman" w:hAnsi="Times New Roman" w:cs="Times New Roman"/>
          <w:sz w:val="24"/>
          <w:szCs w:val="24"/>
        </w:rPr>
        <w:tab/>
      </w:r>
      <w:r w:rsidRPr="008B691B">
        <w:rPr>
          <w:rFonts w:ascii="Times New Roman" w:hAnsi="Times New Roman" w:cs="Times New Roman"/>
          <w:sz w:val="24"/>
          <w:szCs w:val="24"/>
        </w:rPr>
        <w:t>Stroje na tepelné spracovanie materiálov</w:t>
      </w:r>
    </w:p>
    <w:p w:rsidR="00BE3506" w:rsidRPr="008B691B" w:rsidRDefault="0083580F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>42943000-8</w:t>
      </w:r>
      <w:r w:rsidR="000C48F9" w:rsidRPr="008B691B">
        <w:rPr>
          <w:rFonts w:ascii="Times New Roman" w:hAnsi="Times New Roman" w:cs="Times New Roman"/>
          <w:sz w:val="24"/>
          <w:szCs w:val="24"/>
        </w:rPr>
        <w:tab/>
      </w:r>
      <w:r w:rsidRPr="008B691B">
        <w:rPr>
          <w:rFonts w:ascii="Times New Roman" w:hAnsi="Times New Roman" w:cs="Times New Roman"/>
          <w:sz w:val="24"/>
          <w:szCs w:val="24"/>
        </w:rPr>
        <w:t>Termostatický kúpeľ a</w:t>
      </w:r>
      <w:r w:rsidR="000C48F9" w:rsidRPr="008B691B">
        <w:rPr>
          <w:rFonts w:ascii="Times New Roman" w:hAnsi="Times New Roman" w:cs="Times New Roman"/>
          <w:sz w:val="24"/>
          <w:szCs w:val="24"/>
        </w:rPr>
        <w:t> </w:t>
      </w:r>
      <w:r w:rsidRPr="008B691B">
        <w:rPr>
          <w:rFonts w:ascii="Times New Roman" w:hAnsi="Times New Roman" w:cs="Times New Roman"/>
          <w:sz w:val="24"/>
          <w:szCs w:val="24"/>
        </w:rPr>
        <w:t>príslušenstvo</w:t>
      </w:r>
    </w:p>
    <w:p w:rsidR="0091570B" w:rsidRPr="008B691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8B691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 w:rsidRPr="008B691B">
        <w:rPr>
          <w:rFonts w:ascii="Times New Roman" w:hAnsi="Times New Roman" w:cs="Times New Roman"/>
          <w:sz w:val="24"/>
          <w:szCs w:val="24"/>
        </w:rPr>
        <w:t>: Kúpna zmluva a jej platnosť je stanovená do termínu splnenia predmetu zákazky.</w:t>
      </w:r>
    </w:p>
    <w:p w:rsidR="0091570B" w:rsidRPr="008B691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8B691B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FA2D59" w:rsidRPr="008B691B">
        <w:rPr>
          <w:rFonts w:ascii="Times New Roman" w:hAnsi="Times New Roman" w:cs="Times New Roman"/>
          <w:b/>
          <w:sz w:val="24"/>
          <w:szCs w:val="24"/>
        </w:rPr>
        <w:t>:</w:t>
      </w:r>
      <w:r w:rsidR="00FA2D59" w:rsidRPr="008B691B">
        <w:rPr>
          <w:rFonts w:ascii="Times New Roman" w:hAnsi="Times New Roman" w:cs="Times New Roman"/>
          <w:sz w:val="24"/>
          <w:szCs w:val="24"/>
        </w:rPr>
        <w:t xml:space="preserve"> do 60 dní odo dňa nadobudnutia účinnosti kúpnej zmluvy.</w:t>
      </w:r>
    </w:p>
    <w:p w:rsidR="0091570B" w:rsidRPr="008B691B" w:rsidRDefault="0091570B" w:rsidP="00915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8B691B" w:rsidRDefault="00020323" w:rsidP="00915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>Miest</w:t>
      </w:r>
      <w:r w:rsidR="0091570B" w:rsidRPr="008B691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B6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plnenia</w:t>
      </w:r>
      <w:r w:rsidRPr="008B691B">
        <w:rPr>
          <w:rFonts w:ascii="Times New Roman" w:hAnsi="Times New Roman" w:cs="Times New Roman"/>
          <w:b/>
          <w:sz w:val="24"/>
          <w:szCs w:val="24"/>
        </w:rPr>
        <w:t>:</w:t>
      </w:r>
    </w:p>
    <w:p w:rsidR="00020323" w:rsidRPr="008B691B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8B691B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:rsidR="00020323" w:rsidRPr="008B691B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8B691B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:rsidR="00DA7D30" w:rsidRPr="008B691B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8B691B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="0091570B" w:rsidRPr="008B691B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="0091570B" w:rsidRPr="008B691B">
        <w:rPr>
          <w:rFonts w:ascii="Times New Roman" w:hAnsi="Times New Roman" w:cs="Times New Roman"/>
          <w:sz w:val="24"/>
          <w:szCs w:val="24"/>
        </w:rPr>
        <w:t xml:space="preserve"> 653/9, 044</w:t>
      </w:r>
      <w:r w:rsidR="008B691B">
        <w:rPr>
          <w:rFonts w:ascii="Times New Roman" w:hAnsi="Times New Roman" w:cs="Times New Roman"/>
          <w:sz w:val="24"/>
          <w:szCs w:val="24"/>
        </w:rPr>
        <w:t xml:space="preserve"> </w:t>
      </w:r>
      <w:r w:rsidR="0091570B" w:rsidRPr="008B691B">
        <w:rPr>
          <w:rFonts w:ascii="Times New Roman" w:hAnsi="Times New Roman" w:cs="Times New Roman"/>
          <w:sz w:val="24"/>
          <w:szCs w:val="24"/>
        </w:rPr>
        <w:t xml:space="preserve">23 Jasov. </w:t>
      </w:r>
    </w:p>
    <w:p w:rsidR="00513C3A" w:rsidRPr="00F61628" w:rsidRDefault="00513C3A" w:rsidP="00513C3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B691B" w:rsidRDefault="008B691B" w:rsidP="00513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3C3A" w:rsidRPr="008B691B" w:rsidRDefault="008B691B" w:rsidP="00513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Podrobná špecifikácia predmetu zákazky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C3A" w:rsidRDefault="00513C3A" w:rsidP="00513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7277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4158"/>
        <w:gridCol w:w="3119"/>
      </w:tblGrid>
      <w:tr w:rsidR="008B691B" w:rsidRPr="00EE79EA" w:rsidTr="0016644C">
        <w:tc>
          <w:tcPr>
            <w:tcW w:w="4158" w:type="dxa"/>
            <w:vAlign w:val="center"/>
          </w:tcPr>
          <w:p w:rsidR="008B691B" w:rsidRPr="0016644C" w:rsidRDefault="008B691B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3119" w:type="dxa"/>
            <w:vAlign w:val="center"/>
          </w:tcPr>
          <w:p w:rsidR="008B691B" w:rsidRPr="0016644C" w:rsidRDefault="008B691B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počet/rozsah</w:t>
            </w:r>
          </w:p>
        </w:tc>
      </w:tr>
      <w:tr w:rsidR="008B691B" w:rsidRPr="00EE79EA" w:rsidTr="0016644C">
        <w:tc>
          <w:tcPr>
            <w:tcW w:w="4158" w:type="dxa"/>
            <w:vAlign w:val="center"/>
          </w:tcPr>
          <w:p w:rsidR="008B691B" w:rsidRPr="0016644C" w:rsidRDefault="008B691B" w:rsidP="00E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4C">
              <w:rPr>
                <w:rFonts w:ascii="Times New Roman" w:hAnsi="Times New Roman" w:cs="Times New Roman"/>
                <w:sz w:val="24"/>
                <w:szCs w:val="24"/>
              </w:rPr>
              <w:t>Suchý termostat s príslušenstvom</w:t>
            </w:r>
          </w:p>
        </w:tc>
        <w:tc>
          <w:tcPr>
            <w:tcW w:w="3119" w:type="dxa"/>
            <w:vAlign w:val="center"/>
          </w:tcPr>
          <w:p w:rsidR="008B691B" w:rsidRPr="0016644C" w:rsidRDefault="008B691B" w:rsidP="00E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4C">
              <w:rPr>
                <w:rFonts w:ascii="Times New Roman" w:hAnsi="Times New Roman" w:cs="Times New Roman"/>
                <w:sz w:val="24"/>
                <w:szCs w:val="24"/>
              </w:rPr>
              <w:t>3 zostavy</w:t>
            </w:r>
          </w:p>
        </w:tc>
      </w:tr>
    </w:tbl>
    <w:p w:rsidR="00513C3A" w:rsidRDefault="00513C3A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8B691B" w:rsidRDefault="008B691B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8B691B" w:rsidRDefault="008B691B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8B691B" w:rsidRDefault="008B691B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8B691B" w:rsidRDefault="008B691B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8B691B" w:rsidRDefault="008B691B" w:rsidP="00513C3A">
      <w:pPr>
        <w:jc w:val="both"/>
        <w:rPr>
          <w:rFonts w:ascii="Arial Narrow" w:hAnsi="Arial Narrow"/>
        </w:rPr>
      </w:pPr>
    </w:p>
    <w:p w:rsidR="00513C3A" w:rsidRPr="008B691B" w:rsidRDefault="00513C3A" w:rsidP="00513C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91B">
        <w:rPr>
          <w:rFonts w:ascii="Times New Roman" w:hAnsi="Times New Roman" w:cs="Times New Roman"/>
          <w:b/>
          <w:sz w:val="24"/>
          <w:szCs w:val="24"/>
        </w:rPr>
        <w:lastRenderedPageBreak/>
        <w:t>Jedna zostava suchého termostatu má nasledovné komponenty a príslušenstvo:</w:t>
      </w:r>
    </w:p>
    <w:tbl>
      <w:tblPr>
        <w:tblStyle w:val="Mriekatabuky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50"/>
        <w:gridCol w:w="1702"/>
        <w:gridCol w:w="5636"/>
      </w:tblGrid>
      <w:tr w:rsidR="008B691B" w:rsidTr="008B691B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8B691B" w:rsidP="00ED5C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Názov </w:t>
            </w:r>
            <w:r w:rsidR="00513C3A" w:rsidRPr="008B691B">
              <w:rPr>
                <w:rFonts w:ascii="Times New Roman" w:hAnsi="Times New Roman" w:cs="Times New Roman"/>
                <w:b/>
                <w:bCs/>
              </w:rPr>
              <w:t>komponentu/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13C3A" w:rsidRPr="008B691B">
              <w:rPr>
                <w:rFonts w:ascii="Times New Roman" w:hAnsi="Times New Roman" w:cs="Times New Roman"/>
                <w:b/>
                <w:bCs/>
              </w:rPr>
              <w:t>príslušenstva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b/>
                <w:bCs/>
              </w:rPr>
            </w:pPr>
            <w:r w:rsidRPr="008B691B">
              <w:rPr>
                <w:rFonts w:ascii="Times New Roman" w:hAnsi="Times New Roman" w:cs="Times New Roman"/>
                <w:b/>
                <w:bCs/>
              </w:rPr>
              <w:t>Predpokladaný počet/rozsah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b/>
                <w:bCs/>
              </w:rPr>
            </w:pPr>
            <w:r w:rsidRPr="008B691B">
              <w:rPr>
                <w:rFonts w:ascii="Times New Roman" w:hAnsi="Times New Roman" w:cs="Times New Roman"/>
                <w:b/>
                <w:bCs/>
              </w:rPr>
              <w:t>Požadovaný technický parameter</w:t>
            </w:r>
          </w:p>
        </w:tc>
      </w:tr>
      <w:tr w:rsidR="008B691B" w:rsidTr="008B691B"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C3A" w:rsidRPr="0016644C" w:rsidRDefault="00F61628" w:rsidP="00ED5CD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644C">
              <w:rPr>
                <w:rFonts w:ascii="Times New Roman" w:hAnsi="Times New Roman" w:cs="Times New Roman"/>
                <w:b/>
                <w:sz w:val="21"/>
                <w:szCs w:val="21"/>
              </w:rPr>
              <w:t>Suchý termostat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3A" w:rsidRPr="008B691B" w:rsidRDefault="00513C3A" w:rsidP="00ED5CD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:rsidR="00513C3A" w:rsidRPr="008B691B" w:rsidRDefault="00513C3A" w:rsidP="00ED5CD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3A" w:rsidRPr="008B691B" w:rsidRDefault="00F61628" w:rsidP="00ED5CD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Požaduje sa termostat na tepelné namáhanie vzoriek suchým ohrevom na princípe elektromagnetickej indukcie a suchým chladením na princípe </w:t>
            </w:r>
            <w:proofErr w:type="spellStart"/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Peltierovho</w:t>
            </w:r>
            <w:proofErr w:type="spellEnd"/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 článku, t. j. nevyužíva chladiace alebo ohrievacie kvapaliny alebo plyny ani otvorený plameň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16644C" w:rsidRDefault="00513C3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3A" w:rsidRPr="008B691B" w:rsidRDefault="00F61628" w:rsidP="00F616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Tepelné namáhanie vzoriek musí byť zabezpečené prostredníctvom samostatne oddelených a teplotne regulovateľných tepelných blokov 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16644C" w:rsidRDefault="00513C3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3A" w:rsidRPr="008B691B" w:rsidRDefault="00F61628" w:rsidP="00ED5CD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Teplo</w:t>
            </w:r>
            <w:r w:rsidR="0098780A" w:rsidRPr="008B691B">
              <w:rPr>
                <w:rFonts w:ascii="Times New Roman" w:hAnsi="Times New Roman" w:cs="Times New Roman"/>
                <w:sz w:val="21"/>
                <w:szCs w:val="21"/>
              </w:rPr>
              <w:t>tné bloky musia byť vyberateľné</w:t>
            </w: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 s možnosťou vyčistenia a</w:t>
            </w:r>
            <w:r w:rsidR="0098780A"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 v prípade potreby </w:t>
            </w: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vymeniteľné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16644C" w:rsidRDefault="00513C3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A" w:rsidRPr="008B691B" w:rsidRDefault="0098780A" w:rsidP="00ED5CD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Ohrievací blok s možnosťou zohrievania vzoriek od laboratórnej teploty (25°C) až do 130 – 150°C po 1°C, schopný udržať teplotu s odchýlkou ±0,1°C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16644C" w:rsidRDefault="0098780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8B691B" w:rsidRDefault="0098780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A" w:rsidRPr="008B691B" w:rsidRDefault="0098780A" w:rsidP="00ED5CD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Chladiaci blok s možnosťou chladenia od 20°C na najmenej 0°C po 1°C, schopný udržať teplotu s odchýlkou ±0,1°C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16644C" w:rsidRDefault="0098780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8B691B" w:rsidRDefault="0098780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A" w:rsidRPr="008B691B" w:rsidRDefault="00C07E3C" w:rsidP="00C07E3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Zariadenie musí mať prehľadný displej, nastaviteľný časovač so zvukovou signalizáciou po ukončení a musí disponovať minimálne 10 voliteľnými programami pre každý z tepelných blokov 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16644C" w:rsidRDefault="0098780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8B691B" w:rsidRDefault="0098780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A" w:rsidRPr="008B691B" w:rsidRDefault="00C07E3C" w:rsidP="00ED5CD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Hmotnosťou max</w:t>
            </w:r>
            <w:r w:rsidR="0016644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 10 kg, napájanie: 230V, 50/60Hz, s max. príkonom 450W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16644C" w:rsidRDefault="0098780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80A" w:rsidRPr="008B691B" w:rsidRDefault="0098780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A" w:rsidRPr="008B691B" w:rsidRDefault="000C59EA" w:rsidP="00ED5CD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Dodávané zariadenie musí mať certifikát o kalibrácii deklarovaného teplotného rozsahu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16644C" w:rsidRDefault="00513C3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3A" w:rsidRPr="008B691B" w:rsidRDefault="00513C3A" w:rsidP="00ED5CDC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91B" w:rsidTr="008B691B"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3A" w:rsidRPr="0016644C" w:rsidRDefault="00513C3A" w:rsidP="00ED5CD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644C">
              <w:rPr>
                <w:rFonts w:ascii="Times New Roman" w:hAnsi="Times New Roman" w:cs="Times New Roman"/>
                <w:b/>
                <w:sz w:val="21"/>
                <w:szCs w:val="21"/>
              </w:rPr>
              <w:t>Príslušenstvo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C3A" w:rsidRPr="008B691B" w:rsidRDefault="00513C3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1 ks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3A" w:rsidRPr="008B691B" w:rsidRDefault="00C07E3C" w:rsidP="00ED5CD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Tepelný blok s</w:t>
            </w:r>
            <w:r w:rsidR="000C59EA"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hĺbkou  40 mm, </w:t>
            </w:r>
            <w:r w:rsidR="000C59EA" w:rsidRPr="008B691B">
              <w:rPr>
                <w:rFonts w:ascii="Times New Roman" w:hAnsi="Times New Roman" w:cs="Times New Roman"/>
                <w:sz w:val="21"/>
                <w:szCs w:val="21"/>
              </w:rPr>
              <w:t>s kapacitou 5 skúmaviek s priemerom 29 mm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C3A" w:rsidRPr="0016644C" w:rsidRDefault="00513C3A" w:rsidP="00ED5CD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C3A" w:rsidRPr="008B691B" w:rsidRDefault="000C59EA" w:rsidP="00ED5CD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13C3A"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 ks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3A" w:rsidRPr="008B691B" w:rsidRDefault="000C59EA" w:rsidP="00ED5CD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Tepelný blok s hĺbkou  40 mm, s kapacitou 6 skúmaviek s priemerom 25 mm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16644C" w:rsidRDefault="000C59EA" w:rsidP="000C59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1 ks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Tepelný blok s hĺbkou  56 mm, s kapacitou 10 skúmaviek s priemerom 16 mm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16644C" w:rsidRDefault="000C59EA" w:rsidP="000C59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15 ks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Skúmavky s priemerom 29 mm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16644C" w:rsidRDefault="000C59EA" w:rsidP="000C59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18 ks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Skúmavky s priemerom 25 mm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16644C" w:rsidRDefault="000C59EA" w:rsidP="000C59E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30 ks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Skúmavky s priemerom 16 mm</w:t>
            </w:r>
          </w:p>
        </w:tc>
      </w:tr>
      <w:tr w:rsidR="008B691B" w:rsidTr="008B691B"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9EA" w:rsidRPr="0016644C" w:rsidRDefault="000C59EA" w:rsidP="000C59E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664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Ďalšie požiadavky 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Vrátane dodania celého predmetu na príslušné adresy  pracovísk, vykládky, balného, likvidácie obalov.</w:t>
            </w:r>
          </w:p>
        </w:tc>
      </w:tr>
      <w:tr w:rsidR="008B691B" w:rsidTr="008B691B"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Dodávané </w:t>
            </w:r>
            <w:r w:rsidR="008D2CC0">
              <w:rPr>
                <w:rFonts w:ascii="Times New Roman" w:hAnsi="Times New Roman" w:cs="Times New Roman"/>
                <w:sz w:val="21"/>
                <w:szCs w:val="21"/>
              </w:rPr>
              <w:t>zariadenie a jeho príslušenstvo</w:t>
            </w:r>
            <w:bookmarkStart w:id="0" w:name="_GoBack"/>
            <w:bookmarkEnd w:id="0"/>
            <w:r w:rsidRPr="008B691B">
              <w:rPr>
                <w:rFonts w:ascii="Times New Roman" w:hAnsi="Times New Roman" w:cs="Times New Roman"/>
                <w:sz w:val="21"/>
                <w:szCs w:val="21"/>
              </w:rPr>
              <w:t xml:space="preserve"> musia mať certifikát CE o zhode s európskymi technickými normami.</w:t>
            </w:r>
          </w:p>
        </w:tc>
      </w:tr>
      <w:tr w:rsidR="008B691B" w:rsidTr="008B691B"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Požaduje sa zaškolenie obsluhy pre 3 osoby na každom mieste plnenia.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Dodávaný predmet zákazky nemôže byť repasovaný, recyklovaný alebo opravovaný, požaduje sa dodanie nového nepoužívaného ochranného boxu s plnou funkčnosťou a v kompletnom stave.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Požaduje sa predložiť potvrdenie dodávateľa predmetu zákazky o poskytovaní autorizovaného servisu pre prípad servisnej opravy a servisné stredisko musí byť v SR alebo inej členskej krajine EÚ, od dodávateľa sa požaduje garantovať 2 ročný záručný servis.</w:t>
            </w:r>
          </w:p>
        </w:tc>
      </w:tr>
      <w:tr w:rsidR="008B691B" w:rsidTr="008B691B"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9EA" w:rsidRPr="008B691B" w:rsidRDefault="000C59EA" w:rsidP="000C59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A" w:rsidRPr="008B691B" w:rsidRDefault="000C59EA" w:rsidP="000C59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B691B">
              <w:rPr>
                <w:rFonts w:ascii="Times New Roman" w:hAnsi="Times New Roman" w:cs="Times New Roman"/>
                <w:sz w:val="21"/>
                <w:szCs w:val="21"/>
              </w:rPr>
              <w:t>Manuál na prevádzku prístroja v slovenskom jazyku.</w:t>
            </w:r>
          </w:p>
        </w:tc>
      </w:tr>
    </w:tbl>
    <w:p w:rsidR="0097777F" w:rsidRPr="0097777F" w:rsidRDefault="00513C3A" w:rsidP="0016644C">
      <w:pPr>
        <w:spacing w:before="240"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8B691B">
        <w:rPr>
          <w:rFonts w:ascii="Times New Roman" w:hAnsi="Times New Roman" w:cs="Times New Roman"/>
          <w:sz w:val="24"/>
          <w:szCs w:val="24"/>
        </w:rPr>
        <w:t>V celkovej cene za celý predmet zákazky musia byť započítané všetky náklady a cena musí byť konečná a nie je možné ju navyšovať o dodatočné náklady spojené s dodaním tovaru.</w:t>
      </w:r>
    </w:p>
    <w:sectPr w:rsidR="0097777F" w:rsidRPr="0097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74C94"/>
    <w:multiLevelType w:val="hybridMultilevel"/>
    <w:tmpl w:val="A410A69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30D6"/>
    <w:multiLevelType w:val="hybridMultilevel"/>
    <w:tmpl w:val="BAE6854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5427"/>
    <w:rsid w:val="0000686A"/>
    <w:rsid w:val="00020323"/>
    <w:rsid w:val="00050DDF"/>
    <w:rsid w:val="00057675"/>
    <w:rsid w:val="00065811"/>
    <w:rsid w:val="00076360"/>
    <w:rsid w:val="000A4EDE"/>
    <w:rsid w:val="000A552C"/>
    <w:rsid w:val="000C2C45"/>
    <w:rsid w:val="000C48F9"/>
    <w:rsid w:val="000C59EA"/>
    <w:rsid w:val="000F3AD5"/>
    <w:rsid w:val="00101C32"/>
    <w:rsid w:val="0010660E"/>
    <w:rsid w:val="00121F9C"/>
    <w:rsid w:val="001417EE"/>
    <w:rsid w:val="0016644C"/>
    <w:rsid w:val="00193D36"/>
    <w:rsid w:val="001956D3"/>
    <w:rsid w:val="001C7DB7"/>
    <w:rsid w:val="001D364A"/>
    <w:rsid w:val="00223003"/>
    <w:rsid w:val="002260DC"/>
    <w:rsid w:val="00231CAC"/>
    <w:rsid w:val="00260D7D"/>
    <w:rsid w:val="00276C9A"/>
    <w:rsid w:val="00291E5F"/>
    <w:rsid w:val="002B0887"/>
    <w:rsid w:val="002B63A9"/>
    <w:rsid w:val="002E5480"/>
    <w:rsid w:val="00306135"/>
    <w:rsid w:val="00312BE0"/>
    <w:rsid w:val="00324E3F"/>
    <w:rsid w:val="00343DC6"/>
    <w:rsid w:val="00371D4F"/>
    <w:rsid w:val="003762E2"/>
    <w:rsid w:val="003D133A"/>
    <w:rsid w:val="003D2D3A"/>
    <w:rsid w:val="003F156C"/>
    <w:rsid w:val="003F66D1"/>
    <w:rsid w:val="00404675"/>
    <w:rsid w:val="004248FE"/>
    <w:rsid w:val="00427E11"/>
    <w:rsid w:val="00440B88"/>
    <w:rsid w:val="00456762"/>
    <w:rsid w:val="00462020"/>
    <w:rsid w:val="00467E4C"/>
    <w:rsid w:val="00473D6D"/>
    <w:rsid w:val="004B5B67"/>
    <w:rsid w:val="004D1E92"/>
    <w:rsid w:val="004E49B7"/>
    <w:rsid w:val="004F5048"/>
    <w:rsid w:val="00504CF1"/>
    <w:rsid w:val="005107B4"/>
    <w:rsid w:val="00513C3A"/>
    <w:rsid w:val="00523E5E"/>
    <w:rsid w:val="00526E30"/>
    <w:rsid w:val="00535C67"/>
    <w:rsid w:val="00536BFF"/>
    <w:rsid w:val="0054708D"/>
    <w:rsid w:val="0055269B"/>
    <w:rsid w:val="005709C7"/>
    <w:rsid w:val="0057678E"/>
    <w:rsid w:val="005A3AB0"/>
    <w:rsid w:val="005A3BDD"/>
    <w:rsid w:val="005E2B84"/>
    <w:rsid w:val="005E31CA"/>
    <w:rsid w:val="00603E44"/>
    <w:rsid w:val="00625B02"/>
    <w:rsid w:val="00627F97"/>
    <w:rsid w:val="006324CD"/>
    <w:rsid w:val="00634960"/>
    <w:rsid w:val="00640722"/>
    <w:rsid w:val="00657237"/>
    <w:rsid w:val="00664673"/>
    <w:rsid w:val="00695BA4"/>
    <w:rsid w:val="006B74D2"/>
    <w:rsid w:val="006C7903"/>
    <w:rsid w:val="006D0E87"/>
    <w:rsid w:val="006E1601"/>
    <w:rsid w:val="006E695F"/>
    <w:rsid w:val="00721E5C"/>
    <w:rsid w:val="00741CDC"/>
    <w:rsid w:val="00751DCC"/>
    <w:rsid w:val="00756800"/>
    <w:rsid w:val="00782AF1"/>
    <w:rsid w:val="007839B9"/>
    <w:rsid w:val="00786277"/>
    <w:rsid w:val="007A5D14"/>
    <w:rsid w:val="007C4DC4"/>
    <w:rsid w:val="00801F65"/>
    <w:rsid w:val="0082076F"/>
    <w:rsid w:val="0082472C"/>
    <w:rsid w:val="00826400"/>
    <w:rsid w:val="0083580F"/>
    <w:rsid w:val="0083761E"/>
    <w:rsid w:val="008456E9"/>
    <w:rsid w:val="00852CC2"/>
    <w:rsid w:val="00862415"/>
    <w:rsid w:val="00866EC1"/>
    <w:rsid w:val="008A4809"/>
    <w:rsid w:val="008A65A1"/>
    <w:rsid w:val="008B59BB"/>
    <w:rsid w:val="008B61F5"/>
    <w:rsid w:val="008B691B"/>
    <w:rsid w:val="008C30B7"/>
    <w:rsid w:val="008D2CC0"/>
    <w:rsid w:val="008E5F0F"/>
    <w:rsid w:val="0091570B"/>
    <w:rsid w:val="00917644"/>
    <w:rsid w:val="009452E8"/>
    <w:rsid w:val="0097777F"/>
    <w:rsid w:val="0098780A"/>
    <w:rsid w:val="009A297A"/>
    <w:rsid w:val="009B3860"/>
    <w:rsid w:val="009B7076"/>
    <w:rsid w:val="009B782F"/>
    <w:rsid w:val="009C5A5A"/>
    <w:rsid w:val="009D35E4"/>
    <w:rsid w:val="009F22F1"/>
    <w:rsid w:val="009F5BEB"/>
    <w:rsid w:val="009F5E0D"/>
    <w:rsid w:val="00A113C8"/>
    <w:rsid w:val="00A539D8"/>
    <w:rsid w:val="00A72029"/>
    <w:rsid w:val="00AC2533"/>
    <w:rsid w:val="00AD4C2F"/>
    <w:rsid w:val="00AF03FB"/>
    <w:rsid w:val="00AF3043"/>
    <w:rsid w:val="00B16135"/>
    <w:rsid w:val="00B33FA3"/>
    <w:rsid w:val="00B40862"/>
    <w:rsid w:val="00B506BA"/>
    <w:rsid w:val="00B52EA0"/>
    <w:rsid w:val="00B57C37"/>
    <w:rsid w:val="00B957AF"/>
    <w:rsid w:val="00B95D27"/>
    <w:rsid w:val="00BA1BBD"/>
    <w:rsid w:val="00BA4228"/>
    <w:rsid w:val="00BC2ECE"/>
    <w:rsid w:val="00BD2F73"/>
    <w:rsid w:val="00BE2339"/>
    <w:rsid w:val="00BE3506"/>
    <w:rsid w:val="00BE51CD"/>
    <w:rsid w:val="00C02BDC"/>
    <w:rsid w:val="00C07E3C"/>
    <w:rsid w:val="00C3283A"/>
    <w:rsid w:val="00C611C4"/>
    <w:rsid w:val="00C90E4C"/>
    <w:rsid w:val="00CD727D"/>
    <w:rsid w:val="00CE10D9"/>
    <w:rsid w:val="00CE7034"/>
    <w:rsid w:val="00CF3C55"/>
    <w:rsid w:val="00CF6852"/>
    <w:rsid w:val="00D20C6C"/>
    <w:rsid w:val="00D21D44"/>
    <w:rsid w:val="00D21F1E"/>
    <w:rsid w:val="00D25B83"/>
    <w:rsid w:val="00D87B49"/>
    <w:rsid w:val="00DA5448"/>
    <w:rsid w:val="00DA7D30"/>
    <w:rsid w:val="00DB39E3"/>
    <w:rsid w:val="00DD5FF8"/>
    <w:rsid w:val="00DF0718"/>
    <w:rsid w:val="00DF0F03"/>
    <w:rsid w:val="00E01362"/>
    <w:rsid w:val="00E13F03"/>
    <w:rsid w:val="00E3569C"/>
    <w:rsid w:val="00E40124"/>
    <w:rsid w:val="00E574F6"/>
    <w:rsid w:val="00E600D3"/>
    <w:rsid w:val="00E97F53"/>
    <w:rsid w:val="00EB11A0"/>
    <w:rsid w:val="00EB5300"/>
    <w:rsid w:val="00ED2CC5"/>
    <w:rsid w:val="00ED64FA"/>
    <w:rsid w:val="00F0594D"/>
    <w:rsid w:val="00F1139F"/>
    <w:rsid w:val="00F23728"/>
    <w:rsid w:val="00F61628"/>
    <w:rsid w:val="00F66BA4"/>
    <w:rsid w:val="00F77B1F"/>
    <w:rsid w:val="00F86696"/>
    <w:rsid w:val="00F87192"/>
    <w:rsid w:val="00FA2D59"/>
    <w:rsid w:val="00FB35C5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13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13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2</cp:revision>
  <dcterms:created xsi:type="dcterms:W3CDTF">2025-06-24T06:07:00Z</dcterms:created>
  <dcterms:modified xsi:type="dcterms:W3CDTF">2025-06-24T06:07:00Z</dcterms:modified>
</cp:coreProperties>
</file>