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62E98" w14:textId="2DB9D4E9" w:rsidR="001322F6" w:rsidRPr="003B021C" w:rsidRDefault="001322F6" w:rsidP="001322F6">
      <w:pPr>
        <w:jc w:val="center"/>
        <w:rPr>
          <w:rFonts w:ascii="Arial" w:hAnsi="Arial" w:cs="Arial"/>
          <w:b/>
          <w:bCs/>
          <w:caps/>
        </w:rPr>
      </w:pPr>
      <w:r w:rsidRPr="003B021C">
        <w:rPr>
          <w:rFonts w:ascii="Arial" w:hAnsi="Arial" w:cs="Arial"/>
          <w:b/>
          <w:caps/>
        </w:rPr>
        <w:t xml:space="preserve">Príloha </w:t>
      </w:r>
      <w:r>
        <w:rPr>
          <w:rFonts w:ascii="Arial" w:hAnsi="Arial" w:cs="Arial"/>
          <w:b/>
          <w:caps/>
        </w:rPr>
        <w:t>č</w:t>
      </w:r>
      <w:bookmarkStart w:id="0" w:name="_GoBack"/>
      <w:bookmarkEnd w:id="0"/>
      <w:r>
        <w:rPr>
          <w:rFonts w:ascii="Arial" w:hAnsi="Arial" w:cs="Arial"/>
          <w:b/>
          <w:caps/>
        </w:rPr>
        <w:t>. 4</w:t>
      </w:r>
      <w:r w:rsidRPr="003B021C">
        <w:rPr>
          <w:rFonts w:ascii="Arial" w:hAnsi="Arial" w:cs="Arial"/>
          <w:b/>
          <w:caps/>
        </w:rPr>
        <w:t xml:space="preserve">  Zoznam subdodávateľov a podiel subdodávok</w:t>
      </w:r>
    </w:p>
    <w:p w14:paraId="6BB64359" w14:textId="77777777" w:rsidR="001322F6" w:rsidRPr="003B021C" w:rsidRDefault="001322F6" w:rsidP="001322F6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7B1F317A" w14:textId="35FA8FDC" w:rsidR="001322F6" w:rsidRPr="005B533C" w:rsidRDefault="001322F6" w:rsidP="001322F6">
      <w:pPr>
        <w:numPr>
          <w:ilvl w:val="0"/>
          <w:numId w:val="1"/>
        </w:numPr>
        <w:spacing w:after="120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B533C">
        <w:rPr>
          <w:rFonts w:ascii="Arial" w:hAnsi="Arial" w:cs="Arial"/>
          <w:bCs/>
          <w:sz w:val="20"/>
          <w:szCs w:val="20"/>
        </w:rPr>
        <w:t xml:space="preserve">Uchádza pri využití subdodávateľov pre účely predkladania Zmluvy v rámci poskytnutia riadnej súčinnosti uchádzač postupuje podľa bodu </w:t>
      </w:r>
      <w:bookmarkStart w:id="1" w:name="_Hlk227574984"/>
      <w:r w:rsidR="00270FBE" w:rsidRPr="00270FBE">
        <w:rPr>
          <w:rFonts w:ascii="Arial" w:hAnsi="Arial" w:cs="Arial"/>
          <w:bCs/>
          <w:sz w:val="20"/>
          <w:szCs w:val="20"/>
        </w:rPr>
        <w:t>3</w:t>
      </w:r>
      <w:r w:rsidR="00270FBE">
        <w:rPr>
          <w:rFonts w:ascii="Arial" w:hAnsi="Arial" w:cs="Arial"/>
          <w:bCs/>
          <w:sz w:val="20"/>
          <w:szCs w:val="20"/>
        </w:rPr>
        <w:t>1.8</w:t>
      </w:r>
      <w:r w:rsidR="00270FBE" w:rsidRPr="00270FBE">
        <w:rPr>
          <w:rFonts w:ascii="Arial" w:hAnsi="Arial" w:cs="Arial"/>
          <w:bCs/>
          <w:sz w:val="20"/>
          <w:szCs w:val="20"/>
        </w:rPr>
        <w:t xml:space="preserve"> </w:t>
      </w:r>
      <w:r w:rsidR="00270FBE">
        <w:rPr>
          <w:rFonts w:ascii="Arial" w:hAnsi="Arial" w:cs="Arial"/>
          <w:bCs/>
          <w:sz w:val="20"/>
          <w:szCs w:val="20"/>
        </w:rPr>
        <w:t xml:space="preserve">písm. a) v spojení s bodom 34.1 </w:t>
      </w:r>
      <w:r w:rsidR="00270FBE" w:rsidRPr="00270FBE">
        <w:rPr>
          <w:rFonts w:ascii="Arial" w:hAnsi="Arial" w:cs="Arial"/>
          <w:bCs/>
          <w:sz w:val="20"/>
          <w:szCs w:val="20"/>
        </w:rPr>
        <w:t>časti 1.1 Pokyny pre uchádzačov Zväzku 1 súťažných podkladov</w:t>
      </w:r>
      <w:bookmarkEnd w:id="1"/>
      <w:r w:rsidR="00270FBE" w:rsidRPr="005B533C">
        <w:rPr>
          <w:rFonts w:ascii="Arial" w:hAnsi="Arial" w:cs="Arial"/>
          <w:bCs/>
          <w:sz w:val="20"/>
          <w:szCs w:val="20"/>
        </w:rPr>
        <w:t xml:space="preserve"> </w:t>
      </w:r>
      <w:r w:rsidRPr="005B533C">
        <w:rPr>
          <w:rFonts w:ascii="Arial" w:hAnsi="Arial" w:cs="Arial"/>
          <w:bCs/>
          <w:sz w:val="20"/>
          <w:szCs w:val="20"/>
        </w:rPr>
        <w:t>v súlade s § 41 ods. 3 zákona.</w:t>
      </w:r>
      <w:r w:rsidRPr="005B533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6BA216F" w14:textId="686DB6BF" w:rsidR="001322F6" w:rsidRPr="004B1B26" w:rsidRDefault="001322F6" w:rsidP="001322F6">
      <w:pPr>
        <w:numPr>
          <w:ilvl w:val="0"/>
          <w:numId w:val="1"/>
        </w:numPr>
        <w:spacing w:after="120"/>
        <w:ind w:left="425" w:hanging="425"/>
        <w:contextualSpacing/>
        <w:jc w:val="both"/>
        <w:rPr>
          <w:rFonts w:ascii="Arial" w:hAnsi="Arial"/>
          <w:sz w:val="20"/>
        </w:rPr>
      </w:pPr>
      <w:r w:rsidRPr="005B533C">
        <w:rPr>
          <w:rFonts w:ascii="Arial" w:hAnsi="Arial" w:cs="Arial"/>
          <w:bCs/>
          <w:sz w:val="20"/>
          <w:szCs w:val="20"/>
        </w:rPr>
        <w:t>V súlade s § 41 ods. 6 zákona verejný obstarávateľ nevyžaduje od uchádzačov údaje o osobe oprávnenej konať za subdodávateľov – dodávateľov</w:t>
      </w:r>
      <w:r w:rsidR="00270FBE">
        <w:rPr>
          <w:rFonts w:ascii="Arial" w:hAnsi="Arial" w:cs="Arial"/>
          <w:bCs/>
          <w:sz w:val="20"/>
          <w:szCs w:val="20"/>
        </w:rPr>
        <w:t>i</w:t>
      </w:r>
      <w:r w:rsidRPr="005B533C">
        <w:rPr>
          <w:rFonts w:ascii="Arial" w:hAnsi="Arial" w:cs="Arial"/>
          <w:bCs/>
          <w:sz w:val="20"/>
          <w:szCs w:val="20"/>
        </w:rPr>
        <w:t xml:space="preserve"> </w:t>
      </w:r>
      <w:r w:rsidR="00270FBE">
        <w:rPr>
          <w:rFonts w:ascii="Arial" w:hAnsi="Arial" w:cs="Arial"/>
          <w:bCs/>
          <w:sz w:val="20"/>
          <w:szCs w:val="20"/>
        </w:rPr>
        <w:t>tovarov</w:t>
      </w:r>
    </w:p>
    <w:p w14:paraId="5DA192F0" w14:textId="77777777" w:rsidR="001322F6" w:rsidRPr="005B533C" w:rsidRDefault="001322F6" w:rsidP="001322F6">
      <w:pPr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B1B26">
        <w:rPr>
          <w:rFonts w:ascii="Arial" w:hAnsi="Arial"/>
          <w:b/>
          <w:sz w:val="20"/>
        </w:rPr>
        <w:t xml:space="preserve">Zoznam subdodávateľov </w:t>
      </w:r>
      <w:r w:rsidRPr="005B533C">
        <w:rPr>
          <w:rFonts w:ascii="Arial" w:hAnsi="Arial" w:cs="Arial"/>
          <w:sz w:val="20"/>
          <w:szCs w:val="20"/>
        </w:rPr>
        <w:t>bude vyhotovený</w:t>
      </w:r>
      <w:r w:rsidRPr="004B1B26">
        <w:rPr>
          <w:rFonts w:ascii="Arial" w:hAnsi="Arial"/>
          <w:sz w:val="20"/>
        </w:rPr>
        <w:t xml:space="preserve"> v </w:t>
      </w:r>
      <w:r w:rsidRPr="005B533C">
        <w:rPr>
          <w:rFonts w:ascii="Arial" w:hAnsi="Arial" w:cs="Arial"/>
          <w:sz w:val="20"/>
          <w:szCs w:val="20"/>
        </w:rPr>
        <w:t xml:space="preserve">členení: </w:t>
      </w:r>
    </w:p>
    <w:p w14:paraId="1A8EE585" w14:textId="77777777" w:rsidR="001322F6" w:rsidRDefault="001322F6" w:rsidP="001322F6">
      <w:p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B533C">
        <w:rPr>
          <w:rFonts w:ascii="Arial" w:hAnsi="Arial" w:cs="Arial"/>
          <w:sz w:val="20"/>
          <w:szCs w:val="20"/>
        </w:rPr>
        <w:t xml:space="preserve">A/ </w:t>
      </w:r>
      <w:r w:rsidRPr="005B53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Poddodávatelia</w:t>
      </w:r>
      <w:r w:rsidRPr="005B533C">
        <w:rPr>
          <w:rFonts w:ascii="Arial" w:hAnsi="Arial" w:cs="Arial"/>
          <w:sz w:val="20"/>
          <w:szCs w:val="20"/>
        </w:rPr>
        <w:t xml:space="preserve"> v zmysle </w:t>
      </w:r>
      <w:proofErr w:type="spellStart"/>
      <w:r w:rsidRPr="005B533C">
        <w:rPr>
          <w:rFonts w:ascii="Arial" w:hAnsi="Arial" w:cs="Arial"/>
          <w:sz w:val="20"/>
          <w:szCs w:val="20"/>
        </w:rPr>
        <w:t>podčlánku</w:t>
      </w:r>
      <w:proofErr w:type="spellEnd"/>
      <w:r w:rsidRPr="004B1B26">
        <w:rPr>
          <w:rFonts w:ascii="Arial" w:hAnsi="Arial"/>
          <w:sz w:val="20"/>
        </w:rPr>
        <w:t xml:space="preserve"> 1</w:t>
      </w:r>
      <w:r w:rsidRPr="005B533C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.16</w:t>
      </w:r>
      <w:r w:rsidRPr="005B533C">
        <w:rPr>
          <w:rFonts w:ascii="Arial" w:hAnsi="Arial" w:cs="Arial"/>
          <w:sz w:val="20"/>
          <w:szCs w:val="20"/>
        </w:rPr>
        <w:t xml:space="preserve"> Osobitných zmluvných podmienok</w:t>
      </w:r>
      <w:r>
        <w:rPr>
          <w:rFonts w:ascii="Arial" w:hAnsi="Arial" w:cs="Arial"/>
          <w:sz w:val="20"/>
          <w:szCs w:val="20"/>
        </w:rPr>
        <w:t>.</w:t>
      </w:r>
    </w:p>
    <w:p w14:paraId="7707DB1B" w14:textId="77777777" w:rsidR="001322F6" w:rsidRDefault="001322F6" w:rsidP="001322F6">
      <w:p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2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342"/>
        <w:gridCol w:w="3034"/>
        <w:gridCol w:w="1476"/>
        <w:gridCol w:w="1553"/>
      </w:tblGrid>
      <w:tr w:rsidR="001322F6" w:rsidRPr="003B021C" w14:paraId="500D5202" w14:textId="77777777" w:rsidTr="00B21D76">
        <w:trPr>
          <w:trHeight w:val="922"/>
        </w:trPr>
        <w:tc>
          <w:tcPr>
            <w:tcW w:w="885" w:type="dxa"/>
            <w:vAlign w:val="center"/>
          </w:tcPr>
          <w:p w14:paraId="036D9911" w14:textId="77777777" w:rsidR="001322F6" w:rsidRPr="004B1B26" w:rsidRDefault="001322F6" w:rsidP="00B21D76">
            <w:pPr>
              <w:contextualSpacing/>
              <w:rPr>
                <w:rFonts w:ascii="Arial" w:hAnsi="Arial"/>
                <w:b/>
                <w:sz w:val="18"/>
              </w:rPr>
            </w:pPr>
            <w:r w:rsidRPr="004B1B26">
              <w:rPr>
                <w:rFonts w:ascii="Arial" w:hAnsi="Arial"/>
                <w:b/>
                <w:sz w:val="18"/>
              </w:rPr>
              <w:t>Por.</w:t>
            </w:r>
            <w:r w:rsidRPr="005B5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</w:t>
            </w:r>
          </w:p>
        </w:tc>
        <w:tc>
          <w:tcPr>
            <w:tcW w:w="2342" w:type="dxa"/>
            <w:vAlign w:val="center"/>
          </w:tcPr>
          <w:p w14:paraId="1E95D734" w14:textId="77777777" w:rsidR="001322F6" w:rsidRPr="005B533C" w:rsidRDefault="001322F6" w:rsidP="00B21D76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Subdodávatelia</w:t>
            </w:r>
          </w:p>
          <w:p w14:paraId="756D97F1" w14:textId="77777777" w:rsidR="001322F6" w:rsidRPr="004B1B26" w:rsidRDefault="001322F6" w:rsidP="00B21D76">
            <w:pPr>
              <w:contextualSpacing/>
              <w:jc w:val="both"/>
              <w:rPr>
                <w:rFonts w:ascii="Arial" w:hAnsi="Arial"/>
                <w:b/>
                <w:sz w:val="18"/>
              </w:rPr>
            </w:pPr>
            <w:r w:rsidRPr="005B533C">
              <w:rPr>
                <w:rFonts w:ascii="Arial" w:hAnsi="Arial" w:cs="Arial"/>
                <w:sz w:val="18"/>
                <w:szCs w:val="18"/>
              </w:rPr>
              <w:t>(obchodné meno/názov, sídlo/miesto podnikania, IČO, zápis do príslušného registra)</w:t>
            </w:r>
          </w:p>
        </w:tc>
        <w:tc>
          <w:tcPr>
            <w:tcW w:w="3034" w:type="dxa"/>
            <w:vAlign w:val="center"/>
          </w:tcPr>
          <w:p w14:paraId="086ADF48" w14:textId="77777777" w:rsidR="001322F6" w:rsidRPr="005B533C" w:rsidRDefault="001322F6" w:rsidP="00B21D7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B26">
              <w:rPr>
                <w:rFonts w:ascii="Arial" w:hAnsi="Arial"/>
                <w:b/>
                <w:sz w:val="18"/>
              </w:rPr>
              <w:t>Údaje o osobe oprávnenej konať za subdodávateľa</w:t>
            </w:r>
            <w:r w:rsidRPr="004B1B26">
              <w:rPr>
                <w:rFonts w:ascii="Arial" w:hAnsi="Arial"/>
                <w:sz w:val="18"/>
              </w:rPr>
              <w:t xml:space="preserve"> </w:t>
            </w:r>
          </w:p>
          <w:p w14:paraId="070481D6" w14:textId="77777777" w:rsidR="001322F6" w:rsidRPr="004B1B26" w:rsidRDefault="001322F6" w:rsidP="00B21D76">
            <w:pPr>
              <w:contextualSpacing/>
              <w:jc w:val="both"/>
              <w:rPr>
                <w:rFonts w:ascii="Arial" w:hAnsi="Arial"/>
                <w:b/>
                <w:sz w:val="18"/>
              </w:rPr>
            </w:pPr>
            <w:r w:rsidRPr="005B533C">
              <w:rPr>
                <w:rFonts w:ascii="Arial" w:hAnsi="Arial" w:cs="Arial"/>
                <w:bCs/>
                <w:sz w:val="18"/>
                <w:szCs w:val="18"/>
              </w:rPr>
              <w:t>(meno a priezvisko, adresa pobytu, dátum narodenia)</w:t>
            </w:r>
          </w:p>
        </w:tc>
        <w:tc>
          <w:tcPr>
            <w:tcW w:w="1476" w:type="dxa"/>
            <w:vAlign w:val="center"/>
          </w:tcPr>
          <w:p w14:paraId="52F59674" w14:textId="77777777" w:rsidR="001322F6" w:rsidRPr="004B1B26" w:rsidRDefault="001322F6" w:rsidP="00B21D76">
            <w:pPr>
              <w:contextualSpacing/>
              <w:rPr>
                <w:rFonts w:ascii="Arial" w:hAnsi="Arial"/>
                <w:b/>
                <w:sz w:val="18"/>
              </w:rPr>
            </w:pPr>
            <w:r w:rsidRPr="004B1B26">
              <w:rPr>
                <w:rFonts w:ascii="Arial" w:hAnsi="Arial"/>
                <w:b/>
                <w:sz w:val="18"/>
              </w:rPr>
              <w:t>Predmet subdodávky</w:t>
            </w:r>
            <w:r w:rsidRPr="005B5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3299C452" w14:textId="77777777" w:rsidR="001322F6" w:rsidRPr="004B1B26" w:rsidRDefault="001322F6" w:rsidP="00B21D76">
            <w:pPr>
              <w:contextualSpacing/>
              <w:rPr>
                <w:rFonts w:ascii="Arial" w:hAnsi="Arial"/>
                <w:b/>
                <w:sz w:val="18"/>
              </w:rPr>
            </w:pPr>
            <w:r w:rsidRPr="005B533C">
              <w:rPr>
                <w:rFonts w:ascii="Arial" w:hAnsi="Arial" w:cs="Arial"/>
                <w:b/>
                <w:bCs/>
                <w:sz w:val="18"/>
                <w:szCs w:val="18"/>
              </w:rPr>
              <w:t>% podiel</w:t>
            </w:r>
            <w:r w:rsidRPr="004B1B26">
              <w:rPr>
                <w:rFonts w:ascii="Arial" w:hAnsi="Arial"/>
                <w:b/>
                <w:sz w:val="18"/>
              </w:rPr>
              <w:t xml:space="preserve"> subdodávok </w:t>
            </w:r>
            <w:r w:rsidRPr="005B533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1322F6" w:rsidRPr="003B021C" w14:paraId="24FB6362" w14:textId="77777777" w:rsidTr="00B21D76">
        <w:trPr>
          <w:trHeight w:val="223"/>
        </w:trPr>
        <w:tc>
          <w:tcPr>
            <w:tcW w:w="885" w:type="dxa"/>
            <w:vAlign w:val="center"/>
          </w:tcPr>
          <w:p w14:paraId="2A0FF6DC" w14:textId="77777777" w:rsidR="001322F6" w:rsidRPr="004B1B26" w:rsidRDefault="001322F6" w:rsidP="00B21D76">
            <w:pPr>
              <w:contextualSpacing/>
              <w:jc w:val="center"/>
              <w:rPr>
                <w:rFonts w:ascii="Arial" w:hAnsi="Arial"/>
                <w:sz w:val="18"/>
              </w:rPr>
            </w:pPr>
            <w:r w:rsidRPr="004B1B26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2342" w:type="dxa"/>
            <w:vAlign w:val="center"/>
          </w:tcPr>
          <w:p w14:paraId="417E317C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  <w:p w14:paraId="213D3A8A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  <w:tc>
          <w:tcPr>
            <w:tcW w:w="3034" w:type="dxa"/>
            <w:vAlign w:val="center"/>
          </w:tcPr>
          <w:p w14:paraId="44FB8777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  <w:tc>
          <w:tcPr>
            <w:tcW w:w="1476" w:type="dxa"/>
            <w:vAlign w:val="center"/>
          </w:tcPr>
          <w:p w14:paraId="0088B714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  <w:tc>
          <w:tcPr>
            <w:tcW w:w="1553" w:type="dxa"/>
            <w:vAlign w:val="center"/>
          </w:tcPr>
          <w:p w14:paraId="17E41B63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</w:tr>
      <w:tr w:rsidR="001322F6" w:rsidRPr="003B021C" w14:paraId="52BB54E2" w14:textId="77777777" w:rsidTr="00B21D76">
        <w:trPr>
          <w:trHeight w:val="315"/>
        </w:trPr>
        <w:tc>
          <w:tcPr>
            <w:tcW w:w="6261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5B207157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  <w:tc>
          <w:tcPr>
            <w:tcW w:w="1476" w:type="dxa"/>
            <w:vAlign w:val="center"/>
          </w:tcPr>
          <w:p w14:paraId="06A90AC9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  <w:r w:rsidRPr="005B533C">
              <w:rPr>
                <w:rFonts w:ascii="Arial" w:hAnsi="Arial" w:cs="Arial"/>
                <w:bCs/>
                <w:sz w:val="18"/>
                <w:szCs w:val="18"/>
              </w:rPr>
              <w:t>Súhrn % podielu subdodávok</w:t>
            </w:r>
          </w:p>
        </w:tc>
        <w:tc>
          <w:tcPr>
            <w:tcW w:w="1553" w:type="dxa"/>
            <w:vAlign w:val="center"/>
          </w:tcPr>
          <w:p w14:paraId="1E0F79AB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</w:tr>
    </w:tbl>
    <w:p w14:paraId="77B4520B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5BBC5812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3B021C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638B8FEA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7C1CFAFE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7ED5CD31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B2DD8CB" w14:textId="77777777" w:rsidR="001322F6" w:rsidRPr="003B021C" w:rsidRDefault="001322F6" w:rsidP="001322F6">
      <w:pPr>
        <w:pStyle w:val="Zkladntext"/>
        <w:tabs>
          <w:tab w:val="num" w:pos="-720"/>
        </w:tabs>
        <w:rPr>
          <w:rFonts w:ascii="Arial" w:hAnsi="Arial" w:cs="Arial"/>
          <w:b/>
          <w:sz w:val="20"/>
          <w:szCs w:val="20"/>
        </w:rPr>
      </w:pP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58E2D7A9" w14:textId="77777777" w:rsidR="001322F6" w:rsidRDefault="001322F6" w:rsidP="001322F6">
      <w:pPr>
        <w:tabs>
          <w:tab w:val="num" w:pos="-72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 xml:space="preserve">                     </w:t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Pr="005B533C">
        <w:rPr>
          <w:rFonts w:ascii="Arial" w:hAnsi="Arial" w:cs="Arial"/>
          <w:sz w:val="20"/>
          <w:szCs w:val="20"/>
        </w:rPr>
        <w:t>meno, priezvisko a  podpis uchádzača, jeho</w:t>
      </w:r>
    </w:p>
    <w:p w14:paraId="1178483D" w14:textId="77777777" w:rsidR="001322F6" w:rsidRDefault="001322F6" w:rsidP="001322F6">
      <w:pPr>
        <w:tabs>
          <w:tab w:val="num" w:pos="-72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5B533C">
        <w:rPr>
          <w:rFonts w:ascii="Arial" w:hAnsi="Arial" w:cs="Arial"/>
          <w:sz w:val="20"/>
          <w:szCs w:val="20"/>
        </w:rPr>
        <w:t xml:space="preserve"> štatutárneho orgánu alebo člena štatutárneho orgánu</w:t>
      </w:r>
    </w:p>
    <w:p w14:paraId="4E77F778" w14:textId="77777777" w:rsidR="001322F6" w:rsidRDefault="001322F6" w:rsidP="001322F6">
      <w:pPr>
        <w:tabs>
          <w:tab w:val="num" w:pos="-72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5B533C">
        <w:rPr>
          <w:rFonts w:ascii="Arial" w:hAnsi="Arial" w:cs="Arial"/>
          <w:sz w:val="20"/>
          <w:szCs w:val="20"/>
        </w:rPr>
        <w:t xml:space="preserve"> alebo iného zástupcu</w:t>
      </w:r>
      <w:r>
        <w:rPr>
          <w:rFonts w:ascii="Arial" w:hAnsi="Arial" w:cs="Arial"/>
          <w:sz w:val="20"/>
          <w:szCs w:val="20"/>
        </w:rPr>
        <w:t xml:space="preserve"> u</w:t>
      </w:r>
      <w:r w:rsidRPr="005B533C">
        <w:rPr>
          <w:rFonts w:ascii="Arial" w:hAnsi="Arial" w:cs="Arial"/>
          <w:sz w:val="20"/>
          <w:szCs w:val="20"/>
        </w:rPr>
        <w:t>chádzača, ktorý je oprávnený</w:t>
      </w:r>
    </w:p>
    <w:p w14:paraId="6B5D8FFB" w14:textId="50A9DAE8" w:rsidR="001322F6" w:rsidRPr="005B533C" w:rsidRDefault="001322F6" w:rsidP="001322F6">
      <w:pPr>
        <w:tabs>
          <w:tab w:val="num" w:pos="-72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5B533C">
        <w:rPr>
          <w:rFonts w:ascii="Arial" w:hAnsi="Arial" w:cs="Arial"/>
          <w:sz w:val="20"/>
          <w:szCs w:val="20"/>
        </w:rPr>
        <w:t xml:space="preserve"> konať v</w:t>
      </w:r>
      <w:r>
        <w:rPr>
          <w:rFonts w:ascii="Arial" w:hAnsi="Arial" w:cs="Arial"/>
          <w:sz w:val="20"/>
          <w:szCs w:val="20"/>
        </w:rPr>
        <w:t> </w:t>
      </w:r>
      <w:r w:rsidRPr="005B533C"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z w:val="20"/>
          <w:szCs w:val="20"/>
        </w:rPr>
        <w:t xml:space="preserve"> </w:t>
      </w:r>
      <w:r w:rsidRPr="005B533C">
        <w:rPr>
          <w:rFonts w:ascii="Arial" w:hAnsi="Arial" w:cs="Arial"/>
          <w:sz w:val="20"/>
          <w:szCs w:val="20"/>
        </w:rPr>
        <w:t>uchádzača v záväzkových vzťahoch</w:t>
      </w:r>
    </w:p>
    <w:p w14:paraId="7F6984C5" w14:textId="77777777" w:rsidR="001322F6" w:rsidRPr="005B533C" w:rsidRDefault="001322F6" w:rsidP="001322F6">
      <w:pPr>
        <w:tabs>
          <w:tab w:val="num" w:pos="-720"/>
        </w:tabs>
        <w:contextualSpacing/>
        <w:jc w:val="both"/>
        <w:rPr>
          <w:rFonts w:ascii="Arial" w:eastAsiaTheme="minorEastAsia" w:hAnsi="Arial" w:cs="Arial"/>
          <w:sz w:val="20"/>
          <w:szCs w:val="21"/>
        </w:rPr>
      </w:pPr>
    </w:p>
    <w:p w14:paraId="0E176BB0" w14:textId="77777777" w:rsidR="001322F6" w:rsidRDefault="001322F6" w:rsidP="001322F6">
      <w:pPr>
        <w:widowControl w:val="0"/>
        <w:spacing w:before="120"/>
      </w:pPr>
    </w:p>
    <w:p w14:paraId="338AE4A1" w14:textId="77777777" w:rsidR="001322F6" w:rsidRDefault="001322F6" w:rsidP="001322F6">
      <w:pPr>
        <w:widowControl w:val="0"/>
        <w:spacing w:before="120"/>
      </w:pPr>
    </w:p>
    <w:p w14:paraId="7271B5F9" w14:textId="77777777" w:rsidR="001322F6" w:rsidRDefault="001322F6" w:rsidP="001322F6">
      <w:pPr>
        <w:widowControl w:val="0"/>
        <w:spacing w:before="120"/>
      </w:pPr>
    </w:p>
    <w:p w14:paraId="0F5F0839" w14:textId="77777777" w:rsidR="001322F6" w:rsidRDefault="001322F6" w:rsidP="001322F6">
      <w:pPr>
        <w:widowControl w:val="0"/>
        <w:spacing w:before="120"/>
      </w:pPr>
    </w:p>
    <w:p w14:paraId="4BCB2270" w14:textId="77777777" w:rsidR="001322F6" w:rsidRDefault="001322F6" w:rsidP="001322F6">
      <w:pPr>
        <w:widowControl w:val="0"/>
        <w:spacing w:before="120"/>
      </w:pPr>
    </w:p>
    <w:p w14:paraId="4AF4F136" w14:textId="77777777" w:rsidR="001322F6" w:rsidRDefault="001322F6" w:rsidP="001322F6">
      <w:pPr>
        <w:widowControl w:val="0"/>
        <w:spacing w:before="120"/>
      </w:pPr>
    </w:p>
    <w:p w14:paraId="009BDFD5" w14:textId="77777777" w:rsidR="008C2351" w:rsidRDefault="008C2351"/>
    <w:sectPr w:rsidR="008C2351" w:rsidSect="007731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D059" w14:textId="77777777" w:rsidR="00F8406A" w:rsidRDefault="00F8406A" w:rsidP="001322F6">
      <w:r>
        <w:separator/>
      </w:r>
    </w:p>
  </w:endnote>
  <w:endnote w:type="continuationSeparator" w:id="0">
    <w:p w14:paraId="0F81A2EF" w14:textId="77777777" w:rsidR="00F8406A" w:rsidRDefault="00F8406A" w:rsidP="0013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55C89" w14:textId="77777777" w:rsidR="00F8406A" w:rsidRDefault="00F8406A" w:rsidP="001322F6">
      <w:r>
        <w:separator/>
      </w:r>
    </w:p>
  </w:footnote>
  <w:footnote w:type="continuationSeparator" w:id="0">
    <w:p w14:paraId="5E83B7DF" w14:textId="77777777" w:rsidR="00F8406A" w:rsidRDefault="00F8406A" w:rsidP="001322F6">
      <w:r>
        <w:continuationSeparator/>
      </w:r>
    </w:p>
  </w:footnote>
  <w:footnote w:id="1">
    <w:p w14:paraId="31D68C3F" w14:textId="77777777" w:rsidR="001322F6" w:rsidRPr="009657AF" w:rsidRDefault="001322F6" w:rsidP="001322F6">
      <w:pPr>
        <w:pStyle w:val="Textpoznmkypodiarou"/>
        <w:rPr>
          <w:rFonts w:ascii="Arial" w:hAnsi="Arial" w:cs="Arial"/>
          <w:sz w:val="18"/>
          <w:szCs w:val="18"/>
        </w:rPr>
      </w:pPr>
      <w:r w:rsidRPr="009657AF">
        <w:rPr>
          <w:rStyle w:val="Odkaznapoznmkupodiarou"/>
          <w:rFonts w:ascii="Arial" w:hAnsi="Arial" w:cs="Arial"/>
          <w:sz w:val="18"/>
          <w:szCs w:val="18"/>
        </w:rPr>
        <w:footnoteRef/>
      </w:r>
      <w:r w:rsidRPr="009657AF">
        <w:rPr>
          <w:rFonts w:ascii="Arial" w:hAnsi="Arial" w:cs="Arial"/>
          <w:sz w:val="18"/>
          <w:szCs w:val="18"/>
        </w:rPr>
        <w:t xml:space="preserve"> </w:t>
      </w:r>
      <w:r w:rsidRPr="009657AF">
        <w:rPr>
          <w:rFonts w:ascii="Arial" w:hAnsi="Arial" w:cs="Arial"/>
          <w:sz w:val="16"/>
          <w:szCs w:val="16"/>
        </w:rPr>
        <w:t>percentuálny podiel ich prác z Akceptovanej zmluvnej hodnoty v EUR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21E59" w14:textId="77777777" w:rsidR="00270FBE" w:rsidRPr="00B00703" w:rsidRDefault="00270FBE" w:rsidP="00270FBE">
    <w:pPr>
      <w:pStyle w:val="Hlavika"/>
      <w:ind w:left="31"/>
      <w:rPr>
        <w:b/>
        <w:bCs/>
      </w:rPr>
    </w:pPr>
    <w:r w:rsidRPr="00B00703">
      <w:rPr>
        <w:b/>
        <w:bCs/>
      </w:rPr>
      <w:t>Národná diaľničná spoločnosť, a. s.</w:t>
    </w:r>
  </w:p>
  <w:p w14:paraId="713300D0" w14:textId="77777777" w:rsidR="00270FBE" w:rsidRPr="00B00703" w:rsidRDefault="00270FBE" w:rsidP="00270FBE">
    <w:pPr>
      <w:pStyle w:val="Hlavika"/>
      <w:ind w:left="31"/>
      <w:rPr>
        <w:noProof/>
        <w:color w:val="FFFFFF" w:themeColor="background1"/>
      </w:rPr>
    </w:pPr>
    <w:r w:rsidRPr="00B00703">
      <w:t>Dúbravská cesta 14, 841 04 Bratislava</w:t>
    </w:r>
    <w:r w:rsidRPr="00B00703">
      <w:rPr>
        <w:noProof/>
        <w:color w:val="FFFFFF" w:themeColor="background1"/>
      </w:rPr>
      <w:t xml:space="preserve"> </w:t>
    </w:r>
  </w:p>
  <w:p w14:paraId="4CB32C83" w14:textId="77777777" w:rsidR="00270FBE" w:rsidRPr="00B00703" w:rsidRDefault="00270FBE" w:rsidP="00270FBE">
    <w:pPr>
      <w:pStyle w:val="Hlavika"/>
      <w:spacing w:before="120"/>
      <w:jc w:val="right"/>
      <w:rPr>
        <w:color w:val="A6A6A6" w:themeColor="background1" w:themeShade="A6"/>
        <w:sz w:val="22"/>
        <w:szCs w:val="22"/>
      </w:rPr>
    </w:pPr>
    <w:r w:rsidRPr="00B00703"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0A08B" wp14:editId="21ABC259">
              <wp:simplePos x="0" y="0"/>
              <wp:positionH relativeFrom="column">
                <wp:posOffset>-19050</wp:posOffset>
              </wp:positionH>
              <wp:positionV relativeFrom="paragraph">
                <wp:posOffset>31115</wp:posOffset>
              </wp:positionV>
              <wp:extent cx="5753100" cy="0"/>
              <wp:effectExtent l="0" t="0" r="0" b="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B385626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45pt" to="45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" strokecolor="#7f7f7f [1612]" strokeweight="1.5pt">
              <v:stroke joinstyle="miter"/>
            </v:line>
          </w:pict>
        </mc:Fallback>
      </mc:AlternateContent>
    </w:r>
    <w:r w:rsidRPr="00B00703">
      <w:rPr>
        <w:color w:val="A6A6A6" w:themeColor="background1" w:themeShade="A6"/>
        <w:sz w:val="20"/>
        <w:szCs w:val="20"/>
      </w:rPr>
      <w:t>Nadlimitná zákazka – služby:</w:t>
    </w:r>
  </w:p>
  <w:p w14:paraId="48B17A34" w14:textId="554B9F9B" w:rsidR="00270FBE" w:rsidRDefault="00270FBE" w:rsidP="00270FBE">
    <w:pPr>
      <w:pStyle w:val="Hlavika"/>
      <w:jc w:val="right"/>
      <w:rPr>
        <w:b/>
        <w:bCs/>
        <w:color w:val="A6A6A6" w:themeColor="background1" w:themeShade="A6"/>
        <w:sz w:val="20"/>
        <w:szCs w:val="20"/>
      </w:rPr>
    </w:pPr>
    <w:r w:rsidRPr="00B00703">
      <w:rPr>
        <w:b/>
        <w:bCs/>
        <w:color w:val="A6A6A6" w:themeColor="background1" w:themeShade="A6"/>
        <w:sz w:val="20"/>
        <w:szCs w:val="20"/>
      </w:rPr>
      <w:t xml:space="preserve">Činnosť STD pre projekt D3 Žilina </w:t>
    </w:r>
    <w:proofErr w:type="spellStart"/>
    <w:r w:rsidRPr="00B00703">
      <w:rPr>
        <w:b/>
        <w:bCs/>
        <w:color w:val="A6A6A6" w:themeColor="background1" w:themeShade="A6"/>
        <w:sz w:val="20"/>
        <w:szCs w:val="20"/>
      </w:rPr>
      <w:t>Brodno</w:t>
    </w:r>
    <w:proofErr w:type="spellEnd"/>
    <w:r w:rsidRPr="00B00703">
      <w:rPr>
        <w:b/>
        <w:bCs/>
        <w:color w:val="A6A6A6" w:themeColor="background1" w:themeShade="A6"/>
        <w:sz w:val="20"/>
        <w:szCs w:val="20"/>
      </w:rPr>
      <w:t xml:space="preserve"> - Kysucké Nové Mesto</w:t>
    </w:r>
  </w:p>
  <w:p w14:paraId="5E9237E5" w14:textId="77777777" w:rsidR="00270FBE" w:rsidRDefault="00270FBE" w:rsidP="00270F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30E4EE02"/>
    <w:lvl w:ilvl="0" w:tplc="7F5E99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F6"/>
    <w:rsid w:val="000D452B"/>
    <w:rsid w:val="001322F6"/>
    <w:rsid w:val="00270FBE"/>
    <w:rsid w:val="004F51D4"/>
    <w:rsid w:val="005C7493"/>
    <w:rsid w:val="00746833"/>
    <w:rsid w:val="0077319E"/>
    <w:rsid w:val="008A1023"/>
    <w:rsid w:val="008C2351"/>
    <w:rsid w:val="008F6C74"/>
    <w:rsid w:val="009D577A"/>
    <w:rsid w:val="00D11EA4"/>
    <w:rsid w:val="00D27147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1714"/>
  <w15:chartTrackingRefBased/>
  <w15:docId w15:val="{AA3B00EA-0A3E-4121-9FA2-F55843F0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322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3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2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3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32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32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32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32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32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2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32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32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322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322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32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32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32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322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32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3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3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3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3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322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322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322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32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322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322F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aliases w:val="Obsah,ubric,b"/>
    <w:basedOn w:val="Normlny"/>
    <w:link w:val="ZkladntextChar"/>
    <w:uiPriority w:val="99"/>
    <w:rsid w:val="001322F6"/>
    <w:pPr>
      <w:spacing w:after="120"/>
    </w:pPr>
  </w:style>
  <w:style w:type="character" w:customStyle="1" w:styleId="ZkladntextChar">
    <w:name w:val="Základný text Char"/>
    <w:aliases w:val="Obsah Char,ubric Char,b Char"/>
    <w:basedOn w:val="Predvolenpsmoodseku"/>
    <w:link w:val="Zkladntext"/>
    <w:uiPriority w:val="99"/>
    <w:rsid w:val="001322F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1322F6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1322F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uiPriority w:val="99"/>
    <w:qFormat/>
    <w:rsid w:val="001322F6"/>
    <w:rPr>
      <w:vertAlign w:val="superscript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270F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"/>
    <w:basedOn w:val="Predvolenpsmoodseku"/>
    <w:link w:val="Hlavika"/>
    <w:uiPriority w:val="99"/>
    <w:rsid w:val="00270FBE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70F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0FBE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Revzia">
    <w:name w:val="Revision"/>
    <w:hidden/>
    <w:uiPriority w:val="99"/>
    <w:semiHidden/>
    <w:rsid w:val="00270F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HlavikaChar1">
    <w:name w:val="Hlavička Char1"/>
    <w:aliases w:val=" 1 Char"/>
    <w:rsid w:val="00270FBE"/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270F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D45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52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Machovič Vladimír</cp:lastModifiedBy>
  <cp:revision>3</cp:revision>
  <dcterms:created xsi:type="dcterms:W3CDTF">2026-04-20T08:59:00Z</dcterms:created>
  <dcterms:modified xsi:type="dcterms:W3CDTF">2026-04-20T12:22:00Z</dcterms:modified>
</cp:coreProperties>
</file>