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65994B10"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1</w:t>
      </w:r>
      <w:r w:rsidR="00B817EC">
        <w:rPr>
          <w:sz w:val="22"/>
          <w:szCs w:val="22"/>
        </w:rPr>
        <w:t>2</w:t>
      </w:r>
      <w:r w:rsidR="00B73222" w:rsidRPr="001C4CA7">
        <w:rPr>
          <w:sz w:val="22"/>
          <w:szCs w:val="22"/>
        </w:rPr>
        <w:t xml:space="preserve"> </w:t>
      </w:r>
    </w:p>
    <w:p w14:paraId="5C540931" w14:textId="76A85955"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585C97">
        <w:rPr>
          <w:sz w:val="22"/>
        </w:rPr>
        <w:t>-</w:t>
      </w:r>
      <w:r w:rsidR="00B817EC">
        <w:rPr>
          <w:sz w:val="22"/>
        </w:rPr>
        <w:t>251</w:t>
      </w:r>
      <w:r w:rsidR="00907E85">
        <w:rPr>
          <w:sz w:val="22"/>
        </w:rPr>
        <w:t>/2025</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6247D300"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926CDE">
        <w:rPr>
          <w:b/>
          <w:noProof/>
          <w:sz w:val="32"/>
          <w:szCs w:val="32"/>
        </w:rPr>
        <w:t>,,</w:t>
      </w:r>
      <w:r w:rsidR="00B817EC">
        <w:rPr>
          <w:b/>
          <w:noProof/>
          <w:sz w:val="32"/>
          <w:szCs w:val="32"/>
        </w:rPr>
        <w:t>Šitie výstrojných súčiastok a odevov</w:t>
      </w:r>
      <w:r w:rsidR="00043361">
        <w:rPr>
          <w:b/>
          <w:noProof/>
          <w:sz w:val="32"/>
          <w:szCs w:val="32"/>
        </w:rPr>
        <w:t xml:space="preserve"> </w:t>
      </w:r>
      <w:r w:rsidR="00597BA7" w:rsidRPr="00926CDE">
        <w:rPr>
          <w:b/>
          <w:noProof/>
          <w:sz w:val="32"/>
          <w:szCs w:val="32"/>
        </w:rPr>
        <w:t>– DNS</w:t>
      </w:r>
      <w:r w:rsidR="003F71BF" w:rsidRPr="00926CDE">
        <w:rPr>
          <w:b/>
          <w:noProof/>
          <w:sz w:val="32"/>
          <w:szCs w:val="32"/>
        </w:rPr>
        <w:t>“</w:t>
      </w:r>
    </w:p>
    <w:p w14:paraId="54E57D8C" w14:textId="2E2F277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393AB6">
        <w:rPr>
          <w:color w:val="auto"/>
          <w:sz w:val="22"/>
          <w:szCs w:val="22"/>
        </w:rPr>
        <w:t>Služby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46A845B9"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Pr>
          <w:color w:val="000000"/>
          <w:sz w:val="22"/>
          <w:lang w:val="cs-CZ"/>
        </w:rPr>
        <w:t xml:space="preserve"> </w:t>
      </w:r>
      <w:r w:rsidR="00C477F5">
        <w:rPr>
          <w:color w:val="000000"/>
          <w:sz w:val="22"/>
          <w:lang w:val="cs-CZ"/>
        </w:rPr>
        <w:t xml:space="preserve">   </w:t>
      </w:r>
      <w:r w:rsidR="00922246">
        <w:rPr>
          <w:color w:val="000000"/>
          <w:sz w:val="22"/>
          <w:lang w:val="cs-CZ"/>
        </w:rPr>
        <w:t>.0</w:t>
      </w:r>
      <w:r w:rsidR="00393AB6">
        <w:rPr>
          <w:color w:val="000000"/>
          <w:sz w:val="22"/>
          <w:lang w:val="cs-CZ"/>
        </w:rPr>
        <w:t>9</w:t>
      </w:r>
      <w:r w:rsidR="00922246">
        <w:rPr>
          <w:color w:val="000000"/>
          <w:sz w:val="22"/>
          <w:lang w:val="cs-CZ"/>
        </w:rPr>
        <w:t>.</w:t>
      </w:r>
      <w:r w:rsidR="000B4864">
        <w:rPr>
          <w:color w:val="000000"/>
          <w:sz w:val="22"/>
          <w:lang w:val="cs-CZ"/>
        </w:rPr>
        <w:t>202</w:t>
      </w:r>
      <w:r w:rsidR="00460A1B">
        <w:rPr>
          <w:color w:val="000000"/>
          <w:sz w:val="22"/>
          <w:lang w:val="cs-CZ"/>
        </w:rPr>
        <w:t>5</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Pr>
          <w:sz w:val="22"/>
        </w:rPr>
        <w:t xml:space="preserve">Mgr. Nikola </w:t>
      </w:r>
      <w:proofErr w:type="spellStart"/>
      <w:r>
        <w:rPr>
          <w:sz w:val="22"/>
        </w:rPr>
        <w:t>Gluštíková</w:t>
      </w:r>
      <w:proofErr w:type="spellEnd"/>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0675DA48" w:rsidR="00B73222" w:rsidRPr="008A5724" w:rsidRDefault="00C11251"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4C5BDB">
              <w:rPr>
                <w:webHidden/>
              </w:rPr>
              <w:t>3</w:t>
            </w:r>
            <w:r w:rsidR="00B73222" w:rsidRPr="008A5724">
              <w:rPr>
                <w:webHidden/>
              </w:rPr>
              <w:fldChar w:fldCharType="end"/>
            </w:r>
          </w:hyperlink>
        </w:p>
        <w:p w14:paraId="29341373" w14:textId="652CEBA2"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3</w:t>
            </w:r>
            <w:r w:rsidR="00B73222" w:rsidRPr="008A5724">
              <w:rPr>
                <w:noProof/>
                <w:webHidden/>
                <w:sz w:val="22"/>
                <w:szCs w:val="22"/>
              </w:rPr>
              <w:fldChar w:fldCharType="end"/>
            </w:r>
          </w:hyperlink>
        </w:p>
        <w:p w14:paraId="4DDAE89C" w14:textId="69B454A2"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3</w:t>
            </w:r>
            <w:r w:rsidR="00B73222" w:rsidRPr="008A5724">
              <w:rPr>
                <w:noProof/>
                <w:webHidden/>
                <w:sz w:val="22"/>
                <w:szCs w:val="22"/>
              </w:rPr>
              <w:fldChar w:fldCharType="end"/>
            </w:r>
          </w:hyperlink>
        </w:p>
        <w:p w14:paraId="621A8D99" w14:textId="4B285BFE"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_Toc112167050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4</w:t>
            </w:r>
            <w:r w:rsidR="00B73222" w:rsidRPr="008A5724">
              <w:rPr>
                <w:noProof/>
                <w:webHidden/>
                <w:sz w:val="22"/>
                <w:szCs w:val="22"/>
              </w:rPr>
              <w:fldChar w:fldCharType="end"/>
            </w:r>
          </w:hyperlink>
        </w:p>
        <w:p w14:paraId="2FB71A1F" w14:textId="54E46904" w:rsidR="00B73222" w:rsidRPr="008A5724" w:rsidRDefault="00C11251"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6C4903">
              <w:rPr>
                <w:noProof/>
                <w:webHidden/>
                <w:sz w:val="22"/>
                <w:szCs w:val="22"/>
              </w:rPr>
              <w:t>5</w:t>
            </w:r>
          </w:hyperlink>
        </w:p>
        <w:p w14:paraId="1E71F48D" w14:textId="12045796" w:rsidR="00B73222" w:rsidRPr="008A5724" w:rsidRDefault="00C11251"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6C4903">
              <w:rPr>
                <w:webHidden/>
              </w:rPr>
              <w:t>5</w:t>
            </w:r>
          </w:hyperlink>
        </w:p>
        <w:p w14:paraId="14BF7E2C" w14:textId="76277746" w:rsidR="00B73222" w:rsidRDefault="00C11251"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6C4903">
              <w:rPr>
                <w:noProof/>
                <w:webHidden/>
                <w:sz w:val="22"/>
                <w:szCs w:val="22"/>
              </w:rPr>
              <w:t>5</w:t>
            </w:r>
          </w:hyperlink>
        </w:p>
        <w:p w14:paraId="569CB5E3" w14:textId="178EAB14"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nie.......................................................................................................................6</w:t>
          </w:r>
        </w:p>
        <w:p w14:paraId="11581343" w14:textId="2046AE46" w:rsidR="00B73222" w:rsidRPr="008A5724" w:rsidRDefault="00C11251"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6C4903">
              <w:rPr>
                <w:noProof/>
                <w:webHidden/>
                <w:sz w:val="22"/>
                <w:szCs w:val="22"/>
              </w:rPr>
              <w:t>6</w:t>
            </w:r>
          </w:hyperlink>
        </w:p>
        <w:p w14:paraId="7AE7AA6F" w14:textId="3D0C744E" w:rsidR="00B73222" w:rsidRPr="008A5724" w:rsidRDefault="00C11251"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6C4903">
              <w:rPr>
                <w:webHidden/>
              </w:rPr>
              <w:t>7</w:t>
            </w:r>
          </w:hyperlink>
        </w:p>
        <w:p w14:paraId="24824DE6" w14:textId="43D666AB"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6C4903">
              <w:rPr>
                <w:noProof/>
                <w:webHidden/>
                <w:sz w:val="22"/>
                <w:szCs w:val="22"/>
              </w:rPr>
              <w:t>7</w:t>
            </w:r>
          </w:hyperlink>
        </w:p>
        <w:p w14:paraId="35F347D9" w14:textId="520B3977" w:rsidR="00B73222" w:rsidRPr="008A5724" w:rsidRDefault="00C11251"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6C4903">
              <w:rPr>
                <w:noProof/>
                <w:webHidden/>
                <w:sz w:val="22"/>
                <w:szCs w:val="22"/>
              </w:rPr>
              <w:t>7</w:t>
            </w:r>
          </w:hyperlink>
        </w:p>
        <w:p w14:paraId="51181AC2" w14:textId="51D30F0D" w:rsidR="00B73222" w:rsidRPr="008A5724" w:rsidRDefault="00C11251"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EF2281">
              <w:rPr>
                <w:webHidden/>
              </w:rPr>
              <w:t>8</w:t>
            </w:r>
          </w:hyperlink>
        </w:p>
        <w:p w14:paraId="24C776E5" w14:textId="66CD43DE"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EF2281">
              <w:rPr>
                <w:noProof/>
                <w:webHidden/>
                <w:sz w:val="22"/>
                <w:szCs w:val="22"/>
              </w:rPr>
              <w:t>8</w:t>
            </w:r>
          </w:hyperlink>
        </w:p>
        <w:p w14:paraId="1328F0AF" w14:textId="3EF0F649"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_Toc112167063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8</w:t>
            </w:r>
            <w:r w:rsidR="00B73222" w:rsidRPr="008A5724">
              <w:rPr>
                <w:noProof/>
                <w:webHidden/>
                <w:sz w:val="22"/>
                <w:szCs w:val="22"/>
              </w:rPr>
              <w:fldChar w:fldCharType="end"/>
            </w:r>
          </w:hyperlink>
        </w:p>
        <w:p w14:paraId="24A6139C" w14:textId="1AC01A46"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6C4903">
              <w:rPr>
                <w:noProof/>
                <w:webHidden/>
                <w:sz w:val="22"/>
                <w:szCs w:val="22"/>
              </w:rPr>
              <w:t>9</w:t>
            </w:r>
          </w:hyperlink>
        </w:p>
        <w:p w14:paraId="124B1DB1" w14:textId="2082B045"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6C4903">
              <w:rPr>
                <w:noProof/>
                <w:webHidden/>
                <w:sz w:val="22"/>
                <w:szCs w:val="22"/>
              </w:rPr>
              <w:t>9</w:t>
            </w:r>
          </w:hyperlink>
        </w:p>
        <w:p w14:paraId="66BED6DB" w14:textId="34626BCF" w:rsidR="00B73222" w:rsidRPr="008A5724" w:rsidRDefault="00C11251"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6C4903">
              <w:rPr>
                <w:noProof/>
                <w:webHidden/>
                <w:sz w:val="22"/>
                <w:szCs w:val="22"/>
              </w:rPr>
              <w:t>9</w:t>
            </w:r>
          </w:hyperlink>
        </w:p>
        <w:p w14:paraId="42457B4E" w14:textId="1D2F2DDE" w:rsidR="00B73222" w:rsidRPr="008A5724" w:rsidRDefault="00C11251"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6C4903">
              <w:rPr>
                <w:webHidden/>
              </w:rPr>
              <w:t>9</w:t>
            </w:r>
          </w:hyperlink>
        </w:p>
        <w:p w14:paraId="7E9840D0" w14:textId="1FAFA09A"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6C4903">
              <w:rPr>
                <w:noProof/>
                <w:webHidden/>
                <w:sz w:val="22"/>
                <w:szCs w:val="22"/>
              </w:rPr>
              <w:t>9</w:t>
            </w:r>
          </w:hyperlink>
        </w:p>
        <w:p w14:paraId="265D28C4" w14:textId="581FA187" w:rsidR="006C4903" w:rsidRPr="00B817EC" w:rsidRDefault="00C11251" w:rsidP="00B817EC">
          <w:pPr>
            <w:pStyle w:val="Obsah3"/>
            <w:tabs>
              <w:tab w:val="clear" w:pos="9799"/>
              <w:tab w:val="right" w:leader="dot" w:pos="9214"/>
            </w:tabs>
            <w:spacing w:after="120"/>
            <w:ind w:left="357"/>
            <w:rPr>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Podmienok</w:t>
            </w:r>
            <w:r w:rsidR="006C4903">
              <w:rPr>
                <w:rStyle w:val="Hypertextovprepojenie"/>
                <w:noProof/>
                <w:sz w:val="22"/>
                <w:szCs w:val="22"/>
              </w:rPr>
              <w:t>y</w:t>
            </w:r>
            <w:r w:rsidR="00B73222" w:rsidRPr="008A5724">
              <w:rPr>
                <w:rStyle w:val="Hypertextovprepojenie"/>
                <w:noProof/>
                <w:sz w:val="22"/>
                <w:szCs w:val="22"/>
              </w:rPr>
              <w:t xml:space="preserve"> účasti</w:t>
            </w:r>
            <w:r w:rsidR="006C4903">
              <w:rPr>
                <w:rStyle w:val="Hypertextovprepojenie"/>
                <w:noProof/>
                <w:sz w:val="22"/>
                <w:szCs w:val="22"/>
              </w:rPr>
              <w:t xml:space="preserve"> osobného postavenia</w:t>
            </w:r>
            <w:r w:rsidR="00B73222" w:rsidRPr="008A5724">
              <w:rPr>
                <w:noProof/>
                <w:webHidden/>
                <w:sz w:val="22"/>
                <w:szCs w:val="22"/>
              </w:rPr>
              <w:tab/>
            </w:r>
            <w:r w:rsidR="006C4903">
              <w:rPr>
                <w:noProof/>
                <w:webHidden/>
                <w:sz w:val="22"/>
                <w:szCs w:val="22"/>
              </w:rPr>
              <w:t>9</w:t>
            </w:r>
          </w:hyperlink>
        </w:p>
        <w:p w14:paraId="1730DB0E" w14:textId="531A5F28" w:rsidR="00B73222" w:rsidRPr="008A5724" w:rsidRDefault="00C11251" w:rsidP="00B817EC">
          <w:pPr>
            <w:pStyle w:val="Obsah2"/>
            <w:spacing w:after="120"/>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B73222" w:rsidRPr="008A5724">
              <w:rPr>
                <w:webHidden/>
              </w:rPr>
              <w:fldChar w:fldCharType="begin"/>
            </w:r>
            <w:r w:rsidR="00B73222" w:rsidRPr="00E5565F">
              <w:rPr>
                <w:webHidden/>
              </w:rPr>
              <w:instrText xml:space="preserve"> PAGEREF _Toc112167072 \h </w:instrText>
            </w:r>
            <w:r w:rsidR="00B73222" w:rsidRPr="008A5724">
              <w:rPr>
                <w:webHidden/>
              </w:rPr>
            </w:r>
            <w:r w:rsidR="00B73222" w:rsidRPr="008A5724">
              <w:rPr>
                <w:webHidden/>
              </w:rPr>
              <w:fldChar w:fldCharType="separate"/>
            </w:r>
            <w:r w:rsidR="004C5BDB">
              <w:rPr>
                <w:webHidden/>
              </w:rPr>
              <w:t>12</w:t>
            </w:r>
            <w:r w:rsidR="00B73222" w:rsidRPr="008A5724">
              <w:rPr>
                <w:webHidden/>
              </w:rPr>
              <w:fldChar w:fldCharType="end"/>
            </w:r>
          </w:hyperlink>
        </w:p>
        <w:p w14:paraId="48507629" w14:textId="5792E965"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12</w:t>
            </w:r>
            <w:r w:rsidR="00B73222" w:rsidRPr="008A5724">
              <w:rPr>
                <w:noProof/>
                <w:webHidden/>
                <w:sz w:val="22"/>
                <w:szCs w:val="22"/>
              </w:rPr>
              <w:fldChar w:fldCharType="end"/>
            </w:r>
          </w:hyperlink>
        </w:p>
        <w:p w14:paraId="51D1E713" w14:textId="2E3F2B7B"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12</w:t>
            </w:r>
            <w:r w:rsidR="00B73222" w:rsidRPr="008A5724">
              <w:rPr>
                <w:noProof/>
                <w:webHidden/>
                <w:sz w:val="22"/>
                <w:szCs w:val="22"/>
              </w:rPr>
              <w:fldChar w:fldCharType="end"/>
            </w:r>
          </w:hyperlink>
        </w:p>
        <w:p w14:paraId="7C9A981E" w14:textId="1F274CA4" w:rsidR="00B73222" w:rsidRPr="008A5724" w:rsidRDefault="00C11251"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12</w:t>
            </w:r>
            <w:r w:rsidR="00B73222" w:rsidRPr="008A5724">
              <w:rPr>
                <w:noProof/>
                <w:webHidden/>
                <w:sz w:val="22"/>
                <w:szCs w:val="22"/>
              </w:rPr>
              <w:fldChar w:fldCharType="end"/>
            </w:r>
          </w:hyperlink>
        </w:p>
        <w:p w14:paraId="51CABD65" w14:textId="7435A503"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817EC">
      <w:pPr>
        <w:spacing w:after="20"/>
        <w:jc w:val="right"/>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714BB63B" w14:textId="6D91EDBF" w:rsidR="00B73222" w:rsidRDefault="00B73222" w:rsidP="00B73222">
      <w:pPr>
        <w:spacing w:after="0"/>
        <w:ind w:right="139"/>
        <w:rPr>
          <w:bCs/>
          <w:sz w:val="22"/>
          <w:szCs w:val="22"/>
        </w:rPr>
      </w:pPr>
      <w:r w:rsidRPr="00795E30">
        <w:rPr>
          <w:bCs/>
          <w:sz w:val="22"/>
          <w:szCs w:val="22"/>
        </w:rPr>
        <w:t>Príloha č.</w:t>
      </w:r>
      <w:r w:rsidR="00CE073F">
        <w:rPr>
          <w:bCs/>
          <w:sz w:val="22"/>
          <w:szCs w:val="22"/>
        </w:rPr>
        <w:t xml:space="preserve"> 4</w:t>
      </w:r>
      <w:r>
        <w:rPr>
          <w:bCs/>
          <w:sz w:val="22"/>
          <w:szCs w:val="22"/>
        </w:rPr>
        <w:t xml:space="preserve"> </w:t>
      </w:r>
      <w:r w:rsidRPr="003600B4">
        <w:rPr>
          <w:bCs/>
          <w:sz w:val="22"/>
          <w:szCs w:val="22"/>
        </w:rPr>
        <w:t xml:space="preserve">- Informatívna </w:t>
      </w:r>
      <w:r w:rsidR="00CC2A8A">
        <w:rPr>
          <w:bCs/>
          <w:sz w:val="22"/>
          <w:szCs w:val="22"/>
        </w:rPr>
        <w:t>zmluva</w:t>
      </w:r>
      <w:r w:rsidR="000B4864">
        <w:rPr>
          <w:bCs/>
          <w:sz w:val="22"/>
          <w:szCs w:val="22"/>
        </w:rPr>
        <w:t xml:space="preserve"> </w:t>
      </w:r>
      <w:r w:rsidRPr="003600B4">
        <w:rPr>
          <w:bCs/>
          <w:sz w:val="22"/>
          <w:szCs w:val="22"/>
        </w:rPr>
        <w:t>k výzve na predkladanie ponúk v rámci zriadeného DNS</w:t>
      </w:r>
      <w:r>
        <w:rPr>
          <w:bCs/>
          <w:sz w:val="22"/>
          <w:szCs w:val="22"/>
        </w:rPr>
        <w:t xml:space="preserve">                            </w:t>
      </w:r>
    </w:p>
    <w:p w14:paraId="009AEFB9" w14:textId="77777777" w:rsidR="00B73222" w:rsidRPr="00241721" w:rsidRDefault="00B73222" w:rsidP="00B73222">
      <w:pPr>
        <w:spacing w:after="20"/>
        <w:ind w:left="0" w:firstLine="0"/>
        <w:rPr>
          <w:bCs/>
          <w:sz w:val="22"/>
          <w:szCs w:val="22"/>
        </w:rPr>
      </w:pPr>
      <w:r w:rsidRPr="00241721">
        <w:rPr>
          <w:bCs/>
          <w:sz w:val="22"/>
          <w:szCs w:val="22"/>
        </w:rPr>
        <w:t xml:space="preserve">Príloha č. </w:t>
      </w:r>
      <w:r w:rsidR="00CE073F">
        <w:rPr>
          <w:bCs/>
          <w:sz w:val="22"/>
          <w:szCs w:val="22"/>
        </w:rPr>
        <w:t>5</w:t>
      </w:r>
      <w:r w:rsidRPr="00241721">
        <w:rPr>
          <w:bCs/>
          <w:sz w:val="22"/>
          <w:szCs w:val="22"/>
        </w:rPr>
        <w:t xml:space="preserve"> -</w:t>
      </w:r>
      <w:r>
        <w:rPr>
          <w:bCs/>
          <w:sz w:val="22"/>
          <w:szCs w:val="22"/>
        </w:rPr>
        <w:t xml:space="preserve"> Návrh plnomocenstva pre vedúceho člena skupiny dodávateľov</w:t>
      </w:r>
    </w:p>
    <w:p w14:paraId="362A7344" w14:textId="41A26E37" w:rsidR="00511CB0" w:rsidRDefault="00B73222" w:rsidP="00615D3F">
      <w:pPr>
        <w:tabs>
          <w:tab w:val="right" w:pos="9270"/>
        </w:tabs>
        <w:spacing w:after="20"/>
        <w:ind w:left="0" w:firstLine="0"/>
        <w:rPr>
          <w:sz w:val="22"/>
        </w:rPr>
      </w:pPr>
      <w:r w:rsidRPr="00241721">
        <w:rPr>
          <w:bCs/>
          <w:sz w:val="22"/>
          <w:szCs w:val="22"/>
        </w:rPr>
        <w:t xml:space="preserve">Príloha č. </w:t>
      </w:r>
      <w:r w:rsidR="004D71AD">
        <w:rPr>
          <w:bCs/>
          <w:sz w:val="22"/>
          <w:szCs w:val="22"/>
        </w:rPr>
        <w:t>6</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77777777" w:rsidR="00D50594" w:rsidRDefault="00511CB0" w:rsidP="00615D3F">
      <w:pPr>
        <w:tabs>
          <w:tab w:val="right" w:pos="9270"/>
        </w:tabs>
        <w:spacing w:after="20"/>
        <w:ind w:left="0" w:firstLine="0"/>
        <w:rPr>
          <w:sz w:val="22"/>
        </w:rPr>
      </w:pPr>
      <w:r>
        <w:rPr>
          <w:sz w:val="22"/>
        </w:rPr>
        <w:t xml:space="preserve">Príloha č. </w:t>
      </w:r>
      <w:r w:rsidR="004D71AD">
        <w:rPr>
          <w:sz w:val="22"/>
        </w:rPr>
        <w:t>7</w:t>
      </w:r>
      <w:r>
        <w:rPr>
          <w:sz w:val="22"/>
        </w:rPr>
        <w:t xml:space="preserve"> - Čestné vyhlásenie k splneniu podmienky účasti podľa § 32 ods. 1 písm. a) ZVO inou osobou</w:t>
      </w:r>
    </w:p>
    <w:p w14:paraId="34AE49AF" w14:textId="6C941B79" w:rsidR="00D50594" w:rsidRDefault="00D50594" w:rsidP="00D50594">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2BB137F" w14:textId="4EAF60D7" w:rsidR="00B73222" w:rsidRDefault="00615D3F" w:rsidP="006C4903">
      <w:pPr>
        <w:tabs>
          <w:tab w:val="left" w:pos="9060"/>
          <w:tab w:val="right" w:pos="9270"/>
        </w:tabs>
        <w:spacing w:after="20"/>
        <w:ind w:left="0" w:firstLine="0"/>
        <w:rPr>
          <w:bCs/>
          <w:sz w:val="22"/>
          <w:szCs w:val="22"/>
        </w:rPr>
      </w:pPr>
      <w:r>
        <w:rPr>
          <w:sz w:val="22"/>
        </w:rPr>
        <w:tab/>
      </w:r>
      <w:r w:rsidR="006C4903">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5FF235F0" w14:textId="6E2F3D5D" w:rsidR="00B73222" w:rsidRPr="003A1547" w:rsidRDefault="00B73222" w:rsidP="00BC3716">
      <w:pPr>
        <w:tabs>
          <w:tab w:val="left" w:pos="6225"/>
        </w:tabs>
        <w:ind w:left="0" w:firstLine="0"/>
        <w:rPr>
          <w:sz w:val="22"/>
          <w:szCs w:val="22"/>
        </w:rPr>
      </w:pP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3C8B92A9" w14:textId="5198A4BD" w:rsidR="00065CC9" w:rsidRPr="00F666D5" w:rsidRDefault="00065CC9" w:rsidP="00B73222">
      <w:pPr>
        <w:pStyle w:val="Zkladntext"/>
        <w:tabs>
          <w:tab w:val="left" w:pos="2410"/>
        </w:tabs>
        <w:spacing w:after="0"/>
        <w:ind w:left="567" w:hanging="567"/>
        <w:jc w:val="left"/>
        <w:rPr>
          <w:sz w:val="22"/>
          <w:szCs w:val="22"/>
        </w:rPr>
      </w:pPr>
      <w:r>
        <w:rPr>
          <w:sz w:val="22"/>
          <w:szCs w:val="22"/>
        </w:rPr>
        <w:tab/>
        <w:t>Adresa profilu:</w:t>
      </w:r>
      <w:r>
        <w:rPr>
          <w:sz w:val="22"/>
          <w:szCs w:val="22"/>
        </w:rPr>
        <w:tab/>
      </w:r>
      <w:r>
        <w:rPr>
          <w:sz w:val="22"/>
          <w:szCs w:val="22"/>
        </w:rPr>
        <w:tab/>
      </w:r>
      <w:hyperlink r:id="rId9" w:history="1">
        <w:r w:rsidR="00B817EC" w:rsidRPr="00425FEA">
          <w:rPr>
            <w:rStyle w:val="Hypertextovprepojenie"/>
            <w:bCs/>
            <w:spacing w:val="-2"/>
            <w:position w:val="-1"/>
            <w:sz w:val="22"/>
            <w:szCs w:val="22"/>
          </w:rPr>
          <w:t>h</w:t>
        </w:r>
        <w:r w:rsidR="00B817EC" w:rsidRPr="00425FEA">
          <w:rPr>
            <w:rStyle w:val="Hypertextovprepojenie"/>
            <w:bCs/>
            <w:spacing w:val="1"/>
            <w:position w:val="-1"/>
            <w:sz w:val="22"/>
            <w:szCs w:val="22"/>
          </w:rPr>
          <w:t>tt</w:t>
        </w:r>
        <w:r w:rsidR="00B817EC" w:rsidRPr="00425FEA">
          <w:rPr>
            <w:rStyle w:val="Hypertextovprepojenie"/>
            <w:bCs/>
            <w:spacing w:val="-2"/>
            <w:position w:val="-1"/>
            <w:sz w:val="22"/>
            <w:szCs w:val="22"/>
          </w:rPr>
          <w:t>p</w:t>
        </w:r>
        <w:r w:rsidR="00B817EC" w:rsidRPr="00425FEA">
          <w:rPr>
            <w:rStyle w:val="Hypertextovprepojenie"/>
            <w:bCs/>
            <w:spacing w:val="-1"/>
            <w:position w:val="-1"/>
            <w:sz w:val="22"/>
            <w:szCs w:val="22"/>
          </w:rPr>
          <w:t>:</w:t>
        </w:r>
        <w:r w:rsidR="00B817EC" w:rsidRPr="00425FEA">
          <w:rPr>
            <w:rStyle w:val="Hypertextovprepojenie"/>
            <w:bCs/>
            <w:spacing w:val="1"/>
            <w:position w:val="-1"/>
            <w:sz w:val="22"/>
            <w:szCs w:val="22"/>
          </w:rPr>
          <w:t>//</w:t>
        </w:r>
        <w:r w:rsidR="00B817EC" w:rsidRPr="00425FEA">
          <w:rPr>
            <w:rStyle w:val="Hypertextovprepojenie"/>
            <w:bCs/>
            <w:spacing w:val="-1"/>
            <w:position w:val="-1"/>
            <w:sz w:val="22"/>
            <w:szCs w:val="22"/>
          </w:rPr>
          <w:t>www</w:t>
        </w:r>
        <w:r w:rsidR="00B817EC" w:rsidRPr="00425FEA">
          <w:rPr>
            <w:rStyle w:val="Hypertextovprepojenie"/>
            <w:bCs/>
            <w:position w:val="-1"/>
            <w:sz w:val="22"/>
            <w:szCs w:val="22"/>
          </w:rPr>
          <w:t>.</w:t>
        </w:r>
        <w:r w:rsidR="00B817EC" w:rsidRPr="00425FEA">
          <w:rPr>
            <w:rStyle w:val="Hypertextovprepojenie"/>
            <w:bCs/>
            <w:spacing w:val="-2"/>
            <w:position w:val="-1"/>
            <w:sz w:val="22"/>
            <w:szCs w:val="22"/>
          </w:rPr>
          <w:t>uv</w:t>
        </w:r>
        <w:r w:rsidR="00B817EC" w:rsidRPr="00425FEA">
          <w:rPr>
            <w:rStyle w:val="Hypertextovprepojenie"/>
            <w:bCs/>
            <w:position w:val="-1"/>
            <w:sz w:val="22"/>
            <w:szCs w:val="22"/>
          </w:rPr>
          <w:t>o.</w:t>
        </w:r>
        <w:r w:rsidR="00B817EC" w:rsidRPr="00425FEA">
          <w:rPr>
            <w:rStyle w:val="Hypertextovprepojenie"/>
            <w:bCs/>
            <w:spacing w:val="-2"/>
            <w:position w:val="-1"/>
            <w:sz w:val="22"/>
            <w:szCs w:val="22"/>
          </w:rPr>
          <w:t>g</w:t>
        </w:r>
        <w:r w:rsidR="00B817EC" w:rsidRPr="00425FEA">
          <w:rPr>
            <w:rStyle w:val="Hypertextovprepojenie"/>
            <w:bCs/>
            <w:spacing w:val="2"/>
            <w:position w:val="-1"/>
            <w:sz w:val="22"/>
            <w:szCs w:val="22"/>
          </w:rPr>
          <w:t>o</w:t>
        </w:r>
        <w:r w:rsidR="00B817EC" w:rsidRPr="00425FEA">
          <w:rPr>
            <w:rStyle w:val="Hypertextovprepojenie"/>
            <w:bCs/>
            <w:spacing w:val="-2"/>
            <w:position w:val="-1"/>
            <w:sz w:val="22"/>
            <w:szCs w:val="22"/>
          </w:rPr>
          <w:t>v</w:t>
        </w:r>
        <w:r w:rsidR="00B817EC" w:rsidRPr="00425FEA">
          <w:rPr>
            <w:rStyle w:val="Hypertextovprepojenie"/>
            <w:bCs/>
            <w:position w:val="-1"/>
            <w:sz w:val="22"/>
            <w:szCs w:val="22"/>
          </w:rPr>
          <w:t>.</w:t>
        </w:r>
        <w:r w:rsidR="00B817EC" w:rsidRPr="00425FEA">
          <w:rPr>
            <w:rStyle w:val="Hypertextovprepojenie"/>
            <w:bCs/>
            <w:spacing w:val="3"/>
            <w:position w:val="-1"/>
            <w:sz w:val="22"/>
            <w:szCs w:val="22"/>
          </w:rPr>
          <w:t>s</w:t>
        </w:r>
        <w:r w:rsidR="00B817EC" w:rsidRPr="00425FEA">
          <w:rPr>
            <w:rStyle w:val="Hypertextovprepojenie"/>
            <w:bCs/>
            <w:spacing w:val="-2"/>
            <w:position w:val="-1"/>
            <w:sz w:val="22"/>
            <w:szCs w:val="22"/>
          </w:rPr>
          <w:t>k</w:t>
        </w:r>
        <w:r w:rsidR="00B817EC" w:rsidRPr="00425FEA">
          <w:rPr>
            <w:rStyle w:val="Hypertextovprepojenie"/>
            <w:bCs/>
            <w:spacing w:val="1"/>
            <w:position w:val="-1"/>
            <w:sz w:val="22"/>
            <w:szCs w:val="22"/>
          </w:rPr>
          <w:t>/</w:t>
        </w:r>
        <w:r w:rsidR="00B817EC" w:rsidRPr="00425FEA">
          <w:rPr>
            <w:rStyle w:val="Hypertextovprepojenie"/>
            <w:bCs/>
            <w:position w:val="-1"/>
            <w:sz w:val="22"/>
            <w:szCs w:val="22"/>
          </w:rPr>
          <w:t>v</w:t>
        </w:r>
        <w:r w:rsidR="00B817EC" w:rsidRPr="00425FEA">
          <w:rPr>
            <w:rStyle w:val="Hypertextovprepojenie"/>
            <w:bCs/>
            <w:spacing w:val="-2"/>
            <w:position w:val="-1"/>
            <w:sz w:val="22"/>
            <w:szCs w:val="22"/>
          </w:rPr>
          <w:t>y</w:t>
        </w:r>
        <w:r w:rsidR="00B817EC" w:rsidRPr="00425FEA">
          <w:rPr>
            <w:rStyle w:val="Hypertextovprepojenie"/>
            <w:bCs/>
            <w:position w:val="-1"/>
            <w:sz w:val="22"/>
            <w:szCs w:val="22"/>
          </w:rPr>
          <w:t>h</w:t>
        </w:r>
        <w:r w:rsidR="00B817EC" w:rsidRPr="00425FEA">
          <w:rPr>
            <w:rStyle w:val="Hypertextovprepojenie"/>
            <w:bCs/>
            <w:spacing w:val="1"/>
            <w:position w:val="-1"/>
            <w:sz w:val="22"/>
            <w:szCs w:val="22"/>
          </w:rPr>
          <w:t>l</w:t>
        </w:r>
        <w:r w:rsidR="00B817EC" w:rsidRPr="00425FEA">
          <w:rPr>
            <w:rStyle w:val="Hypertextovprepojenie"/>
            <w:bCs/>
            <w:position w:val="-1"/>
            <w:sz w:val="22"/>
            <w:szCs w:val="22"/>
          </w:rPr>
          <w:t>ada</w:t>
        </w:r>
        <w:r w:rsidR="00B817EC" w:rsidRPr="00425FEA">
          <w:rPr>
            <w:rStyle w:val="Hypertextovprepojenie"/>
            <w:bCs/>
            <w:spacing w:val="-2"/>
            <w:position w:val="-1"/>
            <w:sz w:val="22"/>
            <w:szCs w:val="22"/>
          </w:rPr>
          <w:t>v</w:t>
        </w:r>
        <w:r w:rsidR="00B817EC" w:rsidRPr="00425FEA">
          <w:rPr>
            <w:rStyle w:val="Hypertextovprepojenie"/>
            <w:bCs/>
            <w:position w:val="-1"/>
            <w:sz w:val="22"/>
            <w:szCs w:val="22"/>
          </w:rPr>
          <w:t>an</w:t>
        </w:r>
        <w:r w:rsidR="00B817EC" w:rsidRPr="00425FEA">
          <w:rPr>
            <w:rStyle w:val="Hypertextovprepojenie"/>
            <w:bCs/>
            <w:spacing w:val="1"/>
            <w:position w:val="-1"/>
            <w:sz w:val="22"/>
            <w:szCs w:val="22"/>
          </w:rPr>
          <w:t>i</w:t>
        </w:r>
        <w:r w:rsidR="00B817EC" w:rsidRPr="00425FEA">
          <w:rPr>
            <w:rStyle w:val="Hypertextovprepojenie"/>
            <w:bCs/>
            <w:spacing w:val="3"/>
            <w:position w:val="-1"/>
            <w:sz w:val="22"/>
            <w:szCs w:val="22"/>
          </w:rPr>
          <w:t>e</w:t>
        </w:r>
        <w:r w:rsidR="00B817EC" w:rsidRPr="00425FEA">
          <w:rPr>
            <w:rStyle w:val="Hypertextovprepojenie"/>
            <w:bCs/>
            <w:spacing w:val="-4"/>
            <w:position w:val="-1"/>
            <w:sz w:val="22"/>
            <w:szCs w:val="22"/>
          </w:rPr>
          <w:t>-</w:t>
        </w:r>
        <w:r w:rsidR="00B817EC" w:rsidRPr="00425FEA">
          <w:rPr>
            <w:rStyle w:val="Hypertextovprepojenie"/>
            <w:bCs/>
            <w:spacing w:val="-2"/>
            <w:position w:val="-1"/>
            <w:sz w:val="22"/>
            <w:szCs w:val="22"/>
          </w:rPr>
          <w:t>z</w:t>
        </w:r>
        <w:r w:rsidR="00B817EC" w:rsidRPr="00425FEA">
          <w:rPr>
            <w:rStyle w:val="Hypertextovprepojenie"/>
            <w:bCs/>
            <w:spacing w:val="3"/>
            <w:position w:val="-1"/>
            <w:sz w:val="22"/>
            <w:szCs w:val="22"/>
          </w:rPr>
          <w:t>a</w:t>
        </w:r>
        <w:r w:rsidR="00B817EC" w:rsidRPr="00425FEA">
          <w:rPr>
            <w:rStyle w:val="Hypertextovprepojenie"/>
            <w:bCs/>
            <w:spacing w:val="-2"/>
            <w:position w:val="-1"/>
            <w:sz w:val="22"/>
            <w:szCs w:val="22"/>
          </w:rPr>
          <w:t>k</w:t>
        </w:r>
        <w:r w:rsidR="00B817EC" w:rsidRPr="00425FEA">
          <w:rPr>
            <w:rStyle w:val="Hypertextovprepojenie"/>
            <w:bCs/>
            <w:position w:val="-1"/>
            <w:sz w:val="22"/>
            <w:szCs w:val="22"/>
          </w:rPr>
          <w:t>a</w:t>
        </w:r>
        <w:r w:rsidR="00B817EC" w:rsidRPr="00425FEA">
          <w:rPr>
            <w:rStyle w:val="Hypertextovprepojenie"/>
            <w:bCs/>
            <w:spacing w:val="-2"/>
            <w:position w:val="-1"/>
            <w:sz w:val="22"/>
            <w:szCs w:val="22"/>
          </w:rPr>
          <w:t>z</w:t>
        </w:r>
        <w:r w:rsidR="00B817EC" w:rsidRPr="00425FEA">
          <w:rPr>
            <w:rStyle w:val="Hypertextovprepojenie"/>
            <w:bCs/>
            <w:spacing w:val="1"/>
            <w:position w:val="-1"/>
            <w:sz w:val="22"/>
            <w:szCs w:val="22"/>
          </w:rPr>
          <w:t>i</w:t>
        </w:r>
        <w:r w:rsidR="00B817EC" w:rsidRPr="00425FEA">
          <w:rPr>
            <w:rStyle w:val="Hypertextovprepojenie"/>
            <w:bCs/>
            <w:position w:val="-1"/>
            <w:sz w:val="22"/>
            <w:szCs w:val="22"/>
          </w:rPr>
          <w:t>e</w:t>
        </w:r>
        <w:r w:rsidR="00B817EC" w:rsidRPr="00425FEA">
          <w:rPr>
            <w:rStyle w:val="Hypertextovprepojenie"/>
            <w:bCs/>
            <w:spacing w:val="-2"/>
            <w:position w:val="-1"/>
            <w:sz w:val="22"/>
            <w:szCs w:val="22"/>
          </w:rPr>
          <w:t>k</w:t>
        </w:r>
        <w:r w:rsidR="00B817EC" w:rsidRPr="00425FEA">
          <w:rPr>
            <w:rStyle w:val="Hypertextovprepojenie"/>
            <w:bCs/>
            <w:spacing w:val="1"/>
            <w:position w:val="-1"/>
            <w:sz w:val="22"/>
            <w:szCs w:val="22"/>
          </w:rPr>
          <w:t>/</w:t>
        </w:r>
        <w:r w:rsidR="00B817EC" w:rsidRPr="00425FEA">
          <w:rPr>
            <w:rStyle w:val="Hypertextovprepojenie"/>
            <w:bCs/>
            <w:position w:val="-1"/>
            <w:sz w:val="22"/>
            <w:szCs w:val="22"/>
          </w:rPr>
          <w:t>de</w:t>
        </w:r>
        <w:r w:rsidR="00B817EC" w:rsidRPr="00425FEA">
          <w:rPr>
            <w:rStyle w:val="Hypertextovprepojenie"/>
            <w:bCs/>
            <w:spacing w:val="1"/>
            <w:position w:val="-1"/>
            <w:sz w:val="22"/>
            <w:szCs w:val="22"/>
          </w:rPr>
          <w:t>t</w:t>
        </w:r>
        <w:r w:rsidR="00B817EC" w:rsidRPr="00425FEA">
          <w:rPr>
            <w:rStyle w:val="Hypertextovprepojenie"/>
            <w:bCs/>
            <w:position w:val="-1"/>
            <w:sz w:val="22"/>
            <w:szCs w:val="22"/>
          </w:rPr>
          <w:t>a</w:t>
        </w:r>
        <w:r w:rsidR="00B817EC" w:rsidRPr="00425FEA">
          <w:rPr>
            <w:rStyle w:val="Hypertextovprepojenie"/>
            <w:bCs/>
            <w:spacing w:val="-1"/>
            <w:position w:val="-1"/>
            <w:sz w:val="22"/>
            <w:szCs w:val="22"/>
          </w:rPr>
          <w:t>i</w:t>
        </w:r>
        <w:r w:rsidR="00B817EC" w:rsidRPr="00425FEA">
          <w:rPr>
            <w:rStyle w:val="Hypertextovprepojenie"/>
            <w:bCs/>
            <w:spacing w:val="1"/>
            <w:position w:val="-1"/>
            <w:sz w:val="22"/>
            <w:szCs w:val="22"/>
          </w:rPr>
          <w:t>l/</w:t>
        </w:r>
        <w:r w:rsidR="00B817EC" w:rsidRPr="00425FEA">
          <w:rPr>
            <w:rStyle w:val="Hypertextovprepojenie"/>
            <w:spacing w:val="1"/>
            <w:position w:val="-1"/>
            <w:sz w:val="22"/>
            <w:szCs w:val="22"/>
          </w:rPr>
          <w:t>541920</w:t>
        </w:r>
      </w:hyperlink>
      <w:r w:rsidR="00B817EC">
        <w:rPr>
          <w:spacing w:val="1"/>
          <w:position w:val="-1"/>
          <w:sz w:val="22"/>
          <w:szCs w:val="22"/>
        </w:rPr>
        <w:t xml:space="preserve"> </w:t>
      </w:r>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6F35D987" w:rsidR="00A50650" w:rsidRDefault="00A50650" w:rsidP="00597BA7">
      <w:pPr>
        <w:spacing w:after="0"/>
        <w:ind w:left="567" w:right="56" w:hanging="567"/>
        <w:rPr>
          <w:sz w:val="22"/>
          <w:szCs w:val="22"/>
        </w:rPr>
      </w:pPr>
      <w:r>
        <w:rPr>
          <w:sz w:val="22"/>
          <w:szCs w:val="22"/>
        </w:rPr>
        <w:tab/>
        <w:t>ID DNS v J</w:t>
      </w:r>
      <w:r w:rsidR="00A41736">
        <w:rPr>
          <w:sz w:val="22"/>
          <w:szCs w:val="22"/>
        </w:rPr>
        <w:t>OSEPHINE</w:t>
      </w:r>
      <w:r>
        <w:rPr>
          <w:sz w:val="22"/>
          <w:szCs w:val="22"/>
        </w:rPr>
        <w:t>:</w:t>
      </w:r>
      <w:r>
        <w:rPr>
          <w:sz w:val="22"/>
          <w:szCs w:val="22"/>
        </w:rPr>
        <w:tab/>
      </w:r>
      <w:r>
        <w:rPr>
          <w:sz w:val="22"/>
          <w:szCs w:val="22"/>
        </w:rPr>
        <w:tab/>
      </w:r>
      <w:r w:rsidR="00A41736">
        <w:rPr>
          <w:sz w:val="22"/>
          <w:szCs w:val="22"/>
        </w:rPr>
        <w:tab/>
      </w:r>
      <w:r w:rsidR="004B79A0" w:rsidRPr="004B79A0">
        <w:rPr>
          <w:sz w:val="22"/>
          <w:szCs w:val="22"/>
        </w:rPr>
        <w:t>70258</w:t>
      </w:r>
    </w:p>
    <w:p w14:paraId="022F0321" w14:textId="741E66EF" w:rsidR="00B73222" w:rsidRPr="00597BA7" w:rsidRDefault="00A50650" w:rsidP="00A50650">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DNS v</w:t>
      </w:r>
      <w:r w:rsidR="00A41736">
        <w:rPr>
          <w:rStyle w:val="Hypertextovprepojenie"/>
          <w:bCs/>
          <w:color w:val="auto"/>
          <w:sz w:val="22"/>
          <w:szCs w:val="22"/>
          <w:u w:val="none"/>
        </w:rPr>
        <w:t xml:space="preserve"> systéme </w:t>
      </w:r>
      <w:r>
        <w:rPr>
          <w:rStyle w:val="Hypertextovprepojenie"/>
          <w:bCs/>
          <w:color w:val="auto"/>
          <w:sz w:val="22"/>
          <w:szCs w:val="22"/>
          <w:u w:val="none"/>
        </w:rPr>
        <w:t>J</w:t>
      </w:r>
      <w:r w:rsidR="00A41736">
        <w:rPr>
          <w:rStyle w:val="Hypertextovprepojenie"/>
          <w:bCs/>
          <w:color w:val="auto"/>
          <w:sz w:val="22"/>
          <w:szCs w:val="22"/>
          <w:u w:val="none"/>
        </w:rPr>
        <w:t>OSEPHINE</w:t>
      </w:r>
      <w:r>
        <w:rPr>
          <w:rStyle w:val="Hypertextovprepojenie"/>
          <w:bCs/>
          <w:color w:val="auto"/>
          <w:sz w:val="22"/>
          <w:szCs w:val="22"/>
          <w:u w:val="none"/>
        </w:rPr>
        <w:t>:</w:t>
      </w:r>
      <w:r>
        <w:rPr>
          <w:rStyle w:val="Hypertextovprepojenie"/>
          <w:bCs/>
          <w:color w:val="auto"/>
          <w:sz w:val="22"/>
          <w:szCs w:val="22"/>
          <w:u w:val="none"/>
        </w:rPr>
        <w:tab/>
      </w:r>
      <w:hyperlink r:id="rId10" w:history="1">
        <w:r w:rsidR="004B79A0" w:rsidRPr="00157F83">
          <w:rPr>
            <w:rStyle w:val="Hypertextovprepojenie"/>
            <w:sz w:val="22"/>
            <w:szCs w:val="22"/>
          </w:rPr>
          <w:t>https://josephine.proebiz.com/sk/tender/70258/summary</w:t>
        </w:r>
      </w:hyperlink>
      <w:r>
        <w:rPr>
          <w:sz w:val="22"/>
          <w:szCs w:val="22"/>
        </w:rPr>
        <w:t xml:space="preserve"> </w:t>
      </w:r>
      <w:r w:rsidR="00597BA7">
        <w:rPr>
          <w:b/>
          <w:bCs/>
          <w:spacing w:val="-2"/>
          <w:position w:val="-1"/>
          <w:sz w:val="22"/>
          <w:szCs w:val="22"/>
        </w:rPr>
        <w:t xml:space="preserve"> </w:t>
      </w:r>
    </w:p>
    <w:p w14:paraId="6097CAC6" w14:textId="0BA433DD" w:rsidR="00B73222" w:rsidRDefault="00B73222" w:rsidP="00597BA7">
      <w:pPr>
        <w:spacing w:after="0"/>
        <w:ind w:left="0" w:right="-511" w:firstLine="0"/>
        <w:rPr>
          <w:rStyle w:val="Hypertextovprepojenie"/>
        </w:rPr>
      </w:pPr>
    </w:p>
    <w:p w14:paraId="35664DE6" w14:textId="71F69931" w:rsidR="00D668EE" w:rsidRPr="00D668EE" w:rsidRDefault="00D668EE" w:rsidP="00D668EE">
      <w:pPr>
        <w:tabs>
          <w:tab w:val="left" w:pos="567"/>
        </w:tabs>
        <w:spacing w:after="0"/>
        <w:ind w:left="567" w:right="56" w:firstLine="0"/>
        <w:rPr>
          <w:rStyle w:val="Hypertextovprepojenie"/>
          <w:u w:val="none"/>
        </w:rPr>
      </w:pPr>
      <w:bookmarkStart w:id="19" w:name="_Hlk202532044"/>
      <w:r w:rsidRPr="00D668EE">
        <w:rPr>
          <w:rStyle w:val="Hypertextovprepojenie"/>
          <w:color w:val="auto"/>
          <w:sz w:val="22"/>
          <w:szCs w:val="22"/>
          <w:u w:val="none"/>
        </w:rPr>
        <w:t xml:space="preserve">Verejný obstarávateľ </w:t>
      </w:r>
      <w:r w:rsidRPr="00B73222">
        <w:rPr>
          <w:sz w:val="23"/>
          <w:szCs w:val="23"/>
        </w:rPr>
        <w:t xml:space="preserve">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bookmarkEnd w:id="19"/>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20" w:name="_Toc90894508"/>
      <w:bookmarkStart w:id="21" w:name="_Toc112167049"/>
      <w:bookmarkEnd w:id="20"/>
      <w:r w:rsidRPr="004C754C">
        <w:t>Úvodné informácie o dynamickom nákupnom systéme</w:t>
      </w:r>
      <w:bookmarkEnd w:id="21"/>
    </w:p>
    <w:p w14:paraId="696D796D" w14:textId="076F4CD0"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3ACBE078" w14:textId="1A326E50" w:rsidR="00B73222" w:rsidRPr="00CD2DA7" w:rsidRDefault="00B73222" w:rsidP="00D668EE">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bookmarkStart w:id="22" w:name="_Hlk202532091"/>
      <w:r w:rsidR="00B0551F">
        <w:rPr>
          <w:color w:val="000000"/>
          <w:sz w:val="22"/>
          <w:szCs w:val="22"/>
        </w:rPr>
        <w:t xml:space="preserve">a jeho rozpočtovým a príspevkovým organizáciám </w:t>
      </w:r>
      <w:bookmarkEnd w:id="22"/>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2233FD35" w14:textId="77777777" w:rsidR="00D668EE" w:rsidRPr="00B41D2C" w:rsidRDefault="00D668EE" w:rsidP="00D668EE">
      <w:pPr>
        <w:pStyle w:val="Zkladntext"/>
        <w:numPr>
          <w:ilvl w:val="0"/>
          <w:numId w:val="20"/>
        </w:numPr>
        <w:autoSpaceDE w:val="0"/>
        <w:autoSpaceDN w:val="0"/>
        <w:spacing w:after="0"/>
        <w:ind w:left="567" w:right="56" w:hanging="567"/>
        <w:rPr>
          <w:sz w:val="22"/>
          <w:szCs w:val="22"/>
        </w:rPr>
      </w:pPr>
      <w:bookmarkStart w:id="23" w:name="_Ref112316216"/>
      <w:bookmarkStart w:id="24" w:name="_Hlk202532124"/>
      <w:r w:rsidRPr="00B41D2C">
        <w:rPr>
          <w:b/>
          <w:bCs/>
          <w:sz w:val="22"/>
          <w:szCs w:val="22"/>
        </w:rPr>
        <w:t>Verejný obstarávateľ bude zabezpečovať centralizovanú činnosť vo verejnom obstarávaní pre seba a pre svoje rozpočtové a príspevkové organizácie, ktorými sú najmä:</w:t>
      </w:r>
      <w:bookmarkEnd w:id="23"/>
    </w:p>
    <w:bookmarkEnd w:id="24"/>
    <w:p w14:paraId="3F85A628" w14:textId="77777777" w:rsidR="00D668EE" w:rsidRPr="002C68A7" w:rsidRDefault="00D668EE" w:rsidP="00D668EE">
      <w:pPr>
        <w:ind w:left="0" w:firstLine="0"/>
        <w:rPr>
          <w:color w:val="FF0000"/>
          <w:sz w:val="6"/>
          <w:szCs w:val="6"/>
        </w:rPr>
      </w:pPr>
    </w:p>
    <w:tbl>
      <w:tblPr>
        <w:tblStyle w:val="Mriekatabuky"/>
        <w:tblpPr w:leftFromText="141" w:rightFromText="141" w:vertAnchor="text" w:horzAnchor="margin" w:tblpXSpec="right" w:tblpY="-3"/>
        <w:tblW w:w="0" w:type="auto"/>
        <w:tblLook w:val="04A0" w:firstRow="1" w:lastRow="0" w:firstColumn="1" w:lastColumn="0" w:noHBand="0" w:noVBand="1"/>
      </w:tblPr>
      <w:tblGrid>
        <w:gridCol w:w="9401"/>
      </w:tblGrid>
      <w:tr w:rsidR="00D668EE" w:rsidRPr="00B41D2C" w14:paraId="2283BC0E" w14:textId="77777777" w:rsidTr="00E83D88">
        <w:trPr>
          <w:trHeight w:hRule="exact" w:val="284"/>
        </w:trPr>
        <w:tc>
          <w:tcPr>
            <w:tcW w:w="9401" w:type="dxa"/>
            <w:shd w:val="clear" w:color="auto" w:fill="D9D9D9" w:themeFill="background1" w:themeFillShade="D9"/>
          </w:tcPr>
          <w:p w14:paraId="05442673" w14:textId="77777777" w:rsidR="00D668EE" w:rsidRPr="00B41D2C" w:rsidRDefault="00D668EE" w:rsidP="00E83D88">
            <w:pPr>
              <w:pStyle w:val="Zkladntext"/>
              <w:autoSpaceDE w:val="0"/>
              <w:autoSpaceDN w:val="0"/>
              <w:spacing w:after="0"/>
              <w:ind w:left="567" w:right="40"/>
              <w:rPr>
                <w:b/>
                <w:bCs/>
                <w:sz w:val="22"/>
                <w:szCs w:val="22"/>
              </w:rPr>
            </w:pPr>
            <w:bookmarkStart w:id="25" w:name="_Hlk202532142"/>
            <w:r w:rsidRPr="00B41D2C">
              <w:rPr>
                <w:b/>
                <w:bCs/>
                <w:sz w:val="22"/>
                <w:szCs w:val="22"/>
              </w:rPr>
              <w:t>Názov organizácie</w:t>
            </w:r>
          </w:p>
        </w:tc>
      </w:tr>
      <w:tr w:rsidR="00D668EE" w:rsidRPr="00B41D2C" w14:paraId="4268B2A0" w14:textId="77777777" w:rsidTr="00E83D88">
        <w:trPr>
          <w:trHeight w:hRule="exact" w:val="312"/>
        </w:trPr>
        <w:tc>
          <w:tcPr>
            <w:tcW w:w="9401" w:type="dxa"/>
          </w:tcPr>
          <w:p w14:paraId="32D23A5B"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Centrum výcviku Lešť</w:t>
            </w:r>
          </w:p>
          <w:p w14:paraId="461583A9" w14:textId="77777777" w:rsidR="00D668EE" w:rsidRPr="00B41D2C" w:rsidRDefault="00D668EE" w:rsidP="00E83D88">
            <w:pPr>
              <w:pStyle w:val="Zkladntext"/>
              <w:spacing w:after="0"/>
              <w:ind w:left="0" w:right="40" w:firstLine="210"/>
              <w:rPr>
                <w:sz w:val="22"/>
                <w:szCs w:val="22"/>
              </w:rPr>
            </w:pPr>
          </w:p>
        </w:tc>
      </w:tr>
      <w:tr w:rsidR="00D668EE" w:rsidRPr="00B41D2C" w14:paraId="01EE5120" w14:textId="77777777" w:rsidTr="00E83D88">
        <w:trPr>
          <w:trHeight w:hRule="exact" w:val="312"/>
        </w:trPr>
        <w:tc>
          <w:tcPr>
            <w:tcW w:w="9401" w:type="dxa"/>
          </w:tcPr>
          <w:p w14:paraId="459981DC"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Vojenské športové centrum Dukla Banská Bystrica</w:t>
            </w:r>
          </w:p>
          <w:p w14:paraId="2D17B7AE" w14:textId="77777777" w:rsidR="00D668EE" w:rsidRPr="00B41D2C" w:rsidRDefault="00D668EE" w:rsidP="00E83D88">
            <w:pPr>
              <w:pStyle w:val="Zkladntext"/>
              <w:spacing w:after="0"/>
              <w:ind w:left="0" w:right="40" w:firstLine="210"/>
              <w:rPr>
                <w:sz w:val="22"/>
                <w:szCs w:val="22"/>
              </w:rPr>
            </w:pPr>
          </w:p>
        </w:tc>
      </w:tr>
      <w:tr w:rsidR="00D668EE" w:rsidRPr="00B41D2C" w14:paraId="0E9EA4D0" w14:textId="77777777" w:rsidTr="00E83D88">
        <w:trPr>
          <w:trHeight w:hRule="exact" w:val="312"/>
        </w:trPr>
        <w:tc>
          <w:tcPr>
            <w:tcW w:w="9401" w:type="dxa"/>
          </w:tcPr>
          <w:p w14:paraId="2EAAF3F8"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historický ústav Bratislava</w:t>
            </w:r>
          </w:p>
          <w:p w14:paraId="6F5E458A" w14:textId="77777777" w:rsidR="00D668EE" w:rsidRPr="00B41D2C" w:rsidRDefault="00D668EE" w:rsidP="00E83D88">
            <w:pPr>
              <w:pStyle w:val="Zkladntext"/>
              <w:spacing w:after="0"/>
              <w:ind w:left="0" w:right="40" w:firstLine="210"/>
              <w:rPr>
                <w:sz w:val="22"/>
                <w:szCs w:val="22"/>
              </w:rPr>
            </w:pPr>
          </w:p>
        </w:tc>
      </w:tr>
      <w:tr w:rsidR="00D668EE" w:rsidRPr="00B41D2C" w14:paraId="3F63AA64" w14:textId="77777777" w:rsidTr="00E83D88">
        <w:trPr>
          <w:trHeight w:hRule="exact" w:val="312"/>
        </w:trPr>
        <w:tc>
          <w:tcPr>
            <w:tcW w:w="9401" w:type="dxa"/>
          </w:tcPr>
          <w:p w14:paraId="772585C4"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Úrad pre obrannú štandardizáciu, kodifikáciu a štátne overovanie kvality so sídlom v Trenčíne</w:t>
            </w:r>
          </w:p>
          <w:p w14:paraId="7589B7F8" w14:textId="77777777" w:rsidR="00D668EE" w:rsidRPr="00B41D2C" w:rsidRDefault="00D668EE" w:rsidP="00E83D88">
            <w:pPr>
              <w:pStyle w:val="Zkladntext"/>
              <w:spacing w:after="0"/>
              <w:ind w:left="0" w:right="40" w:firstLine="210"/>
              <w:rPr>
                <w:sz w:val="22"/>
                <w:szCs w:val="22"/>
              </w:rPr>
            </w:pPr>
          </w:p>
        </w:tc>
      </w:tr>
      <w:tr w:rsidR="00D668EE" w:rsidRPr="00B41D2C" w14:paraId="08728DEB" w14:textId="77777777" w:rsidTr="00E83D88">
        <w:trPr>
          <w:trHeight w:hRule="exact" w:val="312"/>
        </w:trPr>
        <w:tc>
          <w:tcPr>
            <w:tcW w:w="9401" w:type="dxa"/>
          </w:tcPr>
          <w:p w14:paraId="6D8C9D8F" w14:textId="77777777" w:rsidR="00D668EE" w:rsidRPr="00B41D2C" w:rsidRDefault="00D668EE" w:rsidP="00E83D88">
            <w:pPr>
              <w:pStyle w:val="Zkladntext"/>
              <w:autoSpaceDE w:val="0"/>
              <w:autoSpaceDN w:val="0"/>
              <w:spacing w:after="0"/>
              <w:ind w:left="0" w:right="40" w:firstLine="210"/>
              <w:rPr>
                <w:sz w:val="22"/>
                <w:szCs w:val="22"/>
              </w:rPr>
            </w:pPr>
            <w:proofErr w:type="spellStart"/>
            <w:r w:rsidRPr="00B41D2C">
              <w:rPr>
                <w:sz w:val="22"/>
                <w:szCs w:val="22"/>
              </w:rPr>
              <w:t>Ordinariát</w:t>
            </w:r>
            <w:proofErr w:type="spellEnd"/>
            <w:r w:rsidRPr="00B41D2C">
              <w:rPr>
                <w:sz w:val="22"/>
                <w:szCs w:val="22"/>
              </w:rPr>
              <w:t xml:space="preserve"> OS a OZ SR</w:t>
            </w:r>
          </w:p>
          <w:p w14:paraId="468571FB" w14:textId="77777777" w:rsidR="00D668EE" w:rsidRPr="00B41D2C" w:rsidRDefault="00D668EE" w:rsidP="00E83D88">
            <w:pPr>
              <w:pStyle w:val="Zkladntext"/>
              <w:spacing w:after="0"/>
              <w:ind w:left="0" w:right="40" w:firstLine="210"/>
              <w:rPr>
                <w:sz w:val="22"/>
                <w:szCs w:val="22"/>
              </w:rPr>
            </w:pPr>
          </w:p>
        </w:tc>
      </w:tr>
      <w:tr w:rsidR="00D668EE" w:rsidRPr="00B41D2C" w14:paraId="43D9DA7C" w14:textId="77777777" w:rsidTr="00E83D88">
        <w:trPr>
          <w:trHeight w:hRule="exact" w:val="312"/>
        </w:trPr>
        <w:tc>
          <w:tcPr>
            <w:tcW w:w="9401" w:type="dxa"/>
          </w:tcPr>
          <w:p w14:paraId="2DBB1AC8"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Ústredie ekumenickej pastoračnej služby v OS a OZ SR</w:t>
            </w:r>
          </w:p>
          <w:p w14:paraId="7DFF3D26" w14:textId="77777777" w:rsidR="00D668EE" w:rsidRPr="00B41D2C" w:rsidRDefault="00D668EE" w:rsidP="00E83D88">
            <w:pPr>
              <w:pStyle w:val="Zkladntext"/>
              <w:spacing w:after="0"/>
              <w:ind w:left="0" w:right="40" w:firstLine="210"/>
              <w:rPr>
                <w:sz w:val="22"/>
                <w:szCs w:val="22"/>
              </w:rPr>
            </w:pPr>
          </w:p>
        </w:tc>
      </w:tr>
      <w:tr w:rsidR="00D668EE" w:rsidRPr="00B41D2C" w14:paraId="6017E138" w14:textId="77777777" w:rsidTr="00E83D88">
        <w:trPr>
          <w:trHeight w:hRule="exact" w:val="312"/>
        </w:trPr>
        <w:tc>
          <w:tcPr>
            <w:tcW w:w="9401" w:type="dxa"/>
          </w:tcPr>
          <w:p w14:paraId="179F8E4E" w14:textId="77777777" w:rsidR="00D668EE" w:rsidRPr="00B41D2C" w:rsidRDefault="00D668EE" w:rsidP="00E83D88">
            <w:pPr>
              <w:pStyle w:val="Zkladntext"/>
              <w:autoSpaceDE w:val="0"/>
              <w:autoSpaceDN w:val="0"/>
              <w:spacing w:after="0"/>
              <w:ind w:left="0" w:right="40" w:firstLine="210"/>
              <w:rPr>
                <w:sz w:val="22"/>
                <w:szCs w:val="22"/>
              </w:rPr>
            </w:pPr>
            <w:r>
              <w:rPr>
                <w:sz w:val="22"/>
                <w:szCs w:val="22"/>
              </w:rPr>
              <w:t>Akadémia ozbrojených síl</w:t>
            </w:r>
            <w:r w:rsidRPr="00B41D2C">
              <w:rPr>
                <w:sz w:val="22"/>
                <w:szCs w:val="22"/>
              </w:rPr>
              <w:t xml:space="preserve"> gen. M. R. Štefánika</w:t>
            </w:r>
          </w:p>
          <w:p w14:paraId="5F231635"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5083CA5C" w14:textId="77777777" w:rsidTr="00E83D88">
        <w:trPr>
          <w:trHeight w:hRule="exact" w:val="312"/>
        </w:trPr>
        <w:tc>
          <w:tcPr>
            <w:tcW w:w="9401" w:type="dxa"/>
          </w:tcPr>
          <w:p w14:paraId="0F2805C0"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technický a skúšobný ústav Záhorie</w:t>
            </w:r>
          </w:p>
          <w:p w14:paraId="0D715984"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4B1ADD53" w14:textId="77777777" w:rsidTr="00E83D88">
        <w:trPr>
          <w:trHeight w:hRule="exact" w:val="312"/>
        </w:trPr>
        <w:tc>
          <w:tcPr>
            <w:tcW w:w="9401" w:type="dxa"/>
          </w:tcPr>
          <w:p w14:paraId="6AF7081B"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Ústredná vojenská nemocnica SNP Ružomberok – fakultná nemocnica</w:t>
            </w:r>
          </w:p>
          <w:p w14:paraId="21FEE819" w14:textId="77777777" w:rsidR="00D668EE" w:rsidRPr="00B41D2C" w:rsidRDefault="00D668EE" w:rsidP="00E83D88">
            <w:pPr>
              <w:pStyle w:val="Zkladntext"/>
              <w:spacing w:after="0"/>
              <w:ind w:left="0" w:right="40" w:firstLine="210"/>
              <w:rPr>
                <w:sz w:val="22"/>
                <w:szCs w:val="22"/>
              </w:rPr>
            </w:pPr>
          </w:p>
        </w:tc>
      </w:tr>
      <w:tr w:rsidR="00D668EE" w:rsidRPr="00B41D2C" w14:paraId="21A0F67B" w14:textId="77777777" w:rsidTr="00E83D88">
        <w:trPr>
          <w:trHeight w:hRule="exact" w:val="312"/>
        </w:trPr>
        <w:tc>
          <w:tcPr>
            <w:tcW w:w="9401" w:type="dxa"/>
          </w:tcPr>
          <w:p w14:paraId="60A9959D"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úrad sociálneho zabezpečenia Bratislava</w:t>
            </w:r>
          </w:p>
          <w:p w14:paraId="64DD876B"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2EEAB7E1" w14:textId="77777777" w:rsidTr="00E83D88">
        <w:trPr>
          <w:trHeight w:hRule="exact" w:val="312"/>
        </w:trPr>
        <w:tc>
          <w:tcPr>
            <w:tcW w:w="9401" w:type="dxa"/>
          </w:tcPr>
          <w:p w14:paraId="371C81A9"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Bytová agentúra rezortu ministerstva obrany</w:t>
            </w:r>
          </w:p>
          <w:p w14:paraId="5BA6F3FA" w14:textId="77777777" w:rsidR="00D668EE" w:rsidRPr="00B41D2C" w:rsidRDefault="00D668EE" w:rsidP="00E83D88">
            <w:pPr>
              <w:pStyle w:val="Zkladntext"/>
              <w:spacing w:after="0"/>
              <w:ind w:left="0" w:right="40" w:firstLine="210"/>
              <w:rPr>
                <w:sz w:val="22"/>
                <w:szCs w:val="22"/>
              </w:rPr>
            </w:pPr>
          </w:p>
        </w:tc>
      </w:tr>
      <w:bookmarkEnd w:id="25"/>
    </w:tbl>
    <w:p w14:paraId="071477B4" w14:textId="77777777" w:rsidR="00D668EE" w:rsidRDefault="00D668EE" w:rsidP="00D668EE">
      <w:pPr>
        <w:pStyle w:val="Zkladntext"/>
        <w:tabs>
          <w:tab w:val="left" w:pos="9781"/>
        </w:tabs>
        <w:autoSpaceDE w:val="0"/>
        <w:autoSpaceDN w:val="0"/>
        <w:ind w:left="567" w:right="142" w:firstLine="0"/>
        <w:rPr>
          <w:color w:val="000000"/>
          <w:sz w:val="22"/>
          <w:szCs w:val="22"/>
        </w:rPr>
      </w:pP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w:t>
      </w:r>
      <w:r w:rsidRPr="00CD2DA7">
        <w:rPr>
          <w:color w:val="000000"/>
          <w:sz w:val="22"/>
          <w:szCs w:val="22"/>
        </w:rPr>
        <w:lastRenderedPageBreak/>
        <w:t>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3F4668CB"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4C5BDB">
        <w:rPr>
          <w:color w:val="000000"/>
          <w:sz w:val="22"/>
          <w:szCs w:val="22"/>
        </w:rPr>
        <w:t>10</w:t>
      </w:r>
      <w:r>
        <w:rPr>
          <w:color w:val="000000"/>
          <w:sz w:val="22"/>
          <w:szCs w:val="22"/>
        </w:rPr>
        <w:fldChar w:fldCharType="end"/>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498ED7F7" w14:textId="2881F5A6" w:rsidR="00D668EE" w:rsidRPr="00D668EE" w:rsidRDefault="00D668EE" w:rsidP="00D668EE">
      <w:pPr>
        <w:ind w:left="567" w:right="142" w:firstLine="0"/>
        <w:rPr>
          <w:sz w:val="22"/>
          <w:szCs w:val="22"/>
        </w:rPr>
      </w:pPr>
      <w:bookmarkStart w:id="26" w:name="_Hlk202532227"/>
      <w:r w:rsidRPr="00D668EE">
        <w:rPr>
          <w:b/>
          <w:sz w:val="22"/>
          <w:szCs w:val="22"/>
        </w:rPr>
        <w:t>COO</w:t>
      </w:r>
      <w:r w:rsidRPr="00D668EE">
        <w:rPr>
          <w:sz w:val="22"/>
          <w:szCs w:val="22"/>
        </w:rPr>
        <w:t xml:space="preserve">, v tomto prípade MO SR, zabezpečuje centralizovanú činnosť vo verejnom obstarávaní v zmysle                   § 15 ZVO pre seba a pre svoje rozpočtové a príspevkové organizácie uvedené v bode </w:t>
      </w:r>
      <w:r w:rsidRPr="00D668EE">
        <w:rPr>
          <w:sz w:val="22"/>
          <w:szCs w:val="22"/>
        </w:rPr>
        <w:fldChar w:fldCharType="begin"/>
      </w:r>
      <w:r w:rsidRPr="00D668EE">
        <w:rPr>
          <w:sz w:val="22"/>
          <w:szCs w:val="22"/>
        </w:rPr>
        <w:instrText xml:space="preserve"> REF _Ref112316216 \r \h </w:instrText>
      </w:r>
      <w:r w:rsidRPr="00D668EE">
        <w:rPr>
          <w:sz w:val="22"/>
          <w:szCs w:val="22"/>
        </w:rPr>
      </w:r>
      <w:r w:rsidRPr="00D668EE">
        <w:rPr>
          <w:sz w:val="22"/>
          <w:szCs w:val="22"/>
        </w:rPr>
        <w:fldChar w:fldCharType="separate"/>
      </w:r>
      <w:r w:rsidR="004C5BDB">
        <w:rPr>
          <w:sz w:val="22"/>
          <w:szCs w:val="22"/>
        </w:rPr>
        <w:t>2.2</w:t>
      </w:r>
      <w:r w:rsidRPr="00D668EE">
        <w:rPr>
          <w:sz w:val="22"/>
          <w:szCs w:val="22"/>
        </w:rPr>
        <w:fldChar w:fldCharType="end"/>
      </w:r>
      <w:r w:rsidRPr="00D668EE">
        <w:rPr>
          <w:sz w:val="22"/>
          <w:szCs w:val="22"/>
        </w:rPr>
        <w:t>. týchto súťažných podkladov v pozícií ostatných verejných obstarávateľov. COO vykonáva postup DNS prostredníctvom elektronických prostriedkov komunikácie podľa § 20 ZVO. COO je zodpovedná za centralizovanú činnosť vo verejnom obstarávaní.</w:t>
      </w:r>
    </w:p>
    <w:p w14:paraId="183AF552" w14:textId="01733BF4" w:rsidR="00D668EE" w:rsidRDefault="00D668EE" w:rsidP="00D668EE">
      <w:pPr>
        <w:ind w:left="567" w:right="142" w:firstLine="0"/>
        <w:rPr>
          <w:sz w:val="22"/>
          <w:szCs w:val="22"/>
        </w:rPr>
      </w:pPr>
      <w:r w:rsidRPr="00D668EE">
        <w:rPr>
          <w:b/>
          <w:sz w:val="22"/>
          <w:szCs w:val="22"/>
        </w:rPr>
        <w:t>Verejný obstarávateľ</w:t>
      </w:r>
      <w:r w:rsidRPr="00D668EE">
        <w:rPr>
          <w:sz w:val="22"/>
          <w:szCs w:val="22"/>
        </w:rPr>
        <w:t xml:space="preserve"> v DNS prevádzkovaného COO, môže v zmysle § 15 ods. 3 písm. c) ZVO zadávať zákazky. Verejní obstarávatelia sú v zmysle § 15 ods. 4 písm. a) ZVO zodpovední za časť verejného obstarávania, ktorú vykonávajú sami, ide najmä o zadanie zákazky v tomto DNS, ktorý prevádzkuje COO. Verejní obstarávatelia pre zadávanie konkrétnej zákazky sú podľa týchto súťažných podkladov MO SR                    a jeho rozpočtové a príspevkové organizácie uvedené v bode 2.2. týchto súťažných podkladoch.</w:t>
      </w:r>
    </w:p>
    <w:p w14:paraId="50BD69B2" w14:textId="77777777" w:rsidR="00B73222" w:rsidRDefault="00B73222" w:rsidP="00597BA7">
      <w:pPr>
        <w:pStyle w:val="Nadpis3"/>
      </w:pPr>
      <w:bookmarkStart w:id="27" w:name="_Toc112167050"/>
      <w:bookmarkEnd w:id="26"/>
      <w:r>
        <w:t>Predmet a opis predmetu zákazky</w:t>
      </w:r>
      <w:bookmarkEnd w:id="27"/>
    </w:p>
    <w:p w14:paraId="0D8CB180" w14:textId="5D89AF74"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5C4213">
        <w:rPr>
          <w:b/>
          <w:color w:val="000000"/>
          <w:sz w:val="22"/>
          <w:szCs w:val="22"/>
        </w:rPr>
        <w:t> </w:t>
      </w:r>
      <w:r w:rsidR="00BE36E8">
        <w:rPr>
          <w:b/>
          <w:color w:val="000000"/>
          <w:sz w:val="22"/>
          <w:szCs w:val="22"/>
        </w:rPr>
        <w:t>88 141 969</w:t>
      </w:r>
      <w:r w:rsidR="006429ED" w:rsidRPr="00926CDE">
        <w:rPr>
          <w:b/>
          <w:color w:val="000000"/>
          <w:sz w:val="22"/>
          <w:szCs w:val="22"/>
        </w:rPr>
        <w:t>,</w:t>
      </w:r>
      <w:r w:rsidR="00043361">
        <w:rPr>
          <w:b/>
          <w:color w:val="000000"/>
          <w:sz w:val="22"/>
          <w:szCs w:val="22"/>
        </w:rPr>
        <w:t>00</w:t>
      </w:r>
      <w:r w:rsidR="00CF7AB9" w:rsidRPr="006429ED">
        <w:rPr>
          <w:color w:val="000000"/>
          <w:sz w:val="22"/>
          <w:szCs w:val="22"/>
        </w:rPr>
        <w:t xml:space="preserve"> </w:t>
      </w:r>
      <w:r w:rsidRPr="006429ED">
        <w:rPr>
          <w:color w:val="000000"/>
          <w:sz w:val="22"/>
          <w:szCs w:val="22"/>
        </w:rPr>
        <w:t xml:space="preserve">EUR bez DPH. </w:t>
      </w:r>
    </w:p>
    <w:p w14:paraId="69823B30" w14:textId="77777777"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4258969" w14:textId="6FF547C4"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B817EC">
        <w:rPr>
          <w:b/>
          <w:noProof/>
          <w:sz w:val="22"/>
          <w:szCs w:val="22"/>
        </w:rPr>
        <w:t>Šitie výstrojných súčiastok a odevov</w:t>
      </w:r>
      <w:r w:rsidR="00CE073F" w:rsidRPr="00926CDE">
        <w:rPr>
          <w:b/>
          <w:noProof/>
          <w:sz w:val="22"/>
          <w:szCs w:val="22"/>
        </w:rPr>
        <w:t xml:space="preserve"> </w:t>
      </w:r>
      <w:r w:rsidRPr="00926CDE">
        <w:rPr>
          <w:b/>
          <w:noProof/>
          <w:sz w:val="22"/>
          <w:szCs w:val="22"/>
        </w:rPr>
        <w:t xml:space="preserve">– DNS </w:t>
      </w:r>
    </w:p>
    <w:p w14:paraId="6A523ADD" w14:textId="5A131241" w:rsidR="00685870" w:rsidRPr="005F3FCC"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Predmetom čiastkových zákaziek bude</w:t>
      </w:r>
      <w:r w:rsidR="00043361">
        <w:rPr>
          <w:sz w:val="22"/>
        </w:rPr>
        <w:t xml:space="preserve"> </w:t>
      </w:r>
      <w:r w:rsidR="00043361" w:rsidRPr="00043361">
        <w:rPr>
          <w:i/>
          <w:iCs/>
          <w:sz w:val="22"/>
        </w:rPr>
        <w:t xml:space="preserve">poskytovanie </w:t>
      </w:r>
      <w:r w:rsidR="00043361">
        <w:rPr>
          <w:i/>
          <w:iCs/>
          <w:sz w:val="22"/>
        </w:rPr>
        <w:t xml:space="preserve">komplexných </w:t>
      </w:r>
      <w:r w:rsidR="00043361" w:rsidRPr="00043361">
        <w:rPr>
          <w:i/>
          <w:iCs/>
          <w:sz w:val="22"/>
        </w:rPr>
        <w:t>krajčírskych služieb</w:t>
      </w:r>
      <w:r w:rsidR="00043361">
        <w:rPr>
          <w:i/>
          <w:iCs/>
          <w:sz w:val="22"/>
        </w:rPr>
        <w:t>,</w:t>
      </w:r>
      <w:r w:rsidR="00043361" w:rsidRPr="00043361">
        <w:rPr>
          <w:i/>
          <w:iCs/>
          <w:sz w:val="22"/>
        </w:rPr>
        <w:t xml:space="preserve"> </w:t>
      </w:r>
      <w:r w:rsidR="00043361">
        <w:rPr>
          <w:i/>
          <w:iCs/>
          <w:sz w:val="22"/>
        </w:rPr>
        <w:t xml:space="preserve">ktoré sú </w:t>
      </w:r>
      <w:r w:rsidR="00043361" w:rsidRPr="00043361">
        <w:rPr>
          <w:i/>
          <w:iCs/>
          <w:sz w:val="22"/>
        </w:rPr>
        <w:t xml:space="preserve">bežne dostupné </w:t>
      </w:r>
      <w:r w:rsidR="00043361">
        <w:rPr>
          <w:i/>
          <w:iCs/>
          <w:sz w:val="22"/>
        </w:rPr>
        <w:t xml:space="preserve">na trhu </w:t>
      </w:r>
      <w:r w:rsidR="00043361" w:rsidRPr="001202AF">
        <w:rPr>
          <w:i/>
          <w:iCs/>
          <w:sz w:val="22"/>
        </w:rPr>
        <w:t xml:space="preserve">a ktoré sú </w:t>
      </w:r>
      <w:r w:rsidR="00043361">
        <w:rPr>
          <w:i/>
          <w:iCs/>
          <w:sz w:val="22"/>
        </w:rPr>
        <w:t xml:space="preserve">vymedzené </w:t>
      </w:r>
      <w:r w:rsidR="00043361" w:rsidRPr="001202AF">
        <w:rPr>
          <w:i/>
          <w:iCs/>
          <w:sz w:val="22"/>
        </w:rPr>
        <w:t xml:space="preserve">podľa spoločného slovníka obstarávania (CPV) </w:t>
      </w:r>
      <w:r w:rsidR="00043361">
        <w:rPr>
          <w:i/>
          <w:iCs/>
          <w:sz w:val="22"/>
        </w:rPr>
        <w:t xml:space="preserve">v rozsahu </w:t>
      </w:r>
      <w:bookmarkStart w:id="28" w:name="_Hlk207190341"/>
      <w:r w:rsidR="00043361">
        <w:rPr>
          <w:i/>
          <w:iCs/>
          <w:sz w:val="22"/>
        </w:rPr>
        <w:t>98393000-4 Krajčírske služby</w:t>
      </w:r>
      <w:bookmarkEnd w:id="28"/>
      <w:r w:rsidR="005F3FCC">
        <w:rPr>
          <w:i/>
          <w:iCs/>
          <w:sz w:val="22"/>
        </w:rPr>
        <w:t>,</w:t>
      </w:r>
      <w:r w:rsidR="00043361">
        <w:rPr>
          <w:i/>
          <w:iCs/>
          <w:sz w:val="22"/>
        </w:rPr>
        <w:t xml:space="preserve"> </w:t>
      </w:r>
      <w:r w:rsidR="00685870" w:rsidRPr="00043361">
        <w:rPr>
          <w:i/>
          <w:iCs/>
          <w:sz w:val="22"/>
        </w:rPr>
        <w:t>určené pre potreby útvarov a zariadení M</w:t>
      </w:r>
      <w:r w:rsidR="00BE36E8">
        <w:rPr>
          <w:i/>
          <w:iCs/>
          <w:sz w:val="22"/>
        </w:rPr>
        <w:t xml:space="preserve">O </w:t>
      </w:r>
      <w:r w:rsidR="00685870" w:rsidRPr="00043361">
        <w:rPr>
          <w:i/>
          <w:iCs/>
          <w:sz w:val="22"/>
        </w:rPr>
        <w:t>SR</w:t>
      </w:r>
      <w:r w:rsidR="00BB50B0" w:rsidRPr="00043361">
        <w:rPr>
          <w:i/>
          <w:iCs/>
          <w:sz w:val="22"/>
        </w:rPr>
        <w:t xml:space="preserve"> </w:t>
      </w:r>
      <w:bookmarkStart w:id="29" w:name="_Hlk202532260"/>
      <w:r w:rsidR="00BB50B0" w:rsidRPr="00043361">
        <w:rPr>
          <w:i/>
          <w:iCs/>
          <w:sz w:val="22"/>
        </w:rPr>
        <w:t>a jeho rozpočtových a príspevkových organizácií</w:t>
      </w:r>
      <w:r w:rsidR="00685870">
        <w:rPr>
          <w:sz w:val="22"/>
        </w:rPr>
        <w:t>.</w:t>
      </w:r>
      <w:r w:rsidR="00043361">
        <w:rPr>
          <w:sz w:val="22"/>
        </w:rPr>
        <w:t xml:space="preserve"> </w:t>
      </w:r>
    </w:p>
    <w:p w14:paraId="0DEC7C1F" w14:textId="44B02B3D" w:rsidR="005F3FCC" w:rsidRPr="005F3FCC" w:rsidRDefault="005F3FCC" w:rsidP="00BE36E8">
      <w:pPr>
        <w:pStyle w:val="Zkladntext"/>
        <w:tabs>
          <w:tab w:val="left" w:pos="9781"/>
        </w:tabs>
        <w:autoSpaceDE w:val="0"/>
        <w:autoSpaceDN w:val="0"/>
        <w:spacing w:after="120"/>
        <w:ind w:left="567" w:right="142" w:firstLine="0"/>
        <w:rPr>
          <w:sz w:val="22"/>
        </w:rPr>
      </w:pPr>
      <w:r w:rsidRPr="005F3FCC">
        <w:rPr>
          <w:sz w:val="22"/>
        </w:rPr>
        <w:t xml:space="preserve">Verejný obstarávateľ bude v rámci zriadeného DNS zadávať zákazky na </w:t>
      </w:r>
      <w:bookmarkStart w:id="30" w:name="_Hlk207606344"/>
      <w:r w:rsidRPr="005F3FCC">
        <w:rPr>
          <w:sz w:val="22"/>
        </w:rPr>
        <w:t>šitie</w:t>
      </w:r>
      <w:r w:rsidR="00F26E0E">
        <w:rPr>
          <w:sz w:val="22"/>
        </w:rPr>
        <w:t xml:space="preserve"> </w:t>
      </w:r>
      <w:bookmarkEnd w:id="30"/>
      <w:r w:rsidR="00BE36E8" w:rsidRPr="00BE36E8">
        <w:rPr>
          <w:sz w:val="22"/>
        </w:rPr>
        <w:t>jednotlivých výstrojných súčiastok vojaka</w:t>
      </w:r>
      <w:r w:rsidR="00BE36E8">
        <w:rPr>
          <w:sz w:val="22"/>
        </w:rPr>
        <w:t>,</w:t>
      </w:r>
      <w:r w:rsidR="00BE36E8" w:rsidRPr="00BE36E8">
        <w:rPr>
          <w:sz w:val="22"/>
        </w:rPr>
        <w:t xml:space="preserve"> ako napr. uniformy</w:t>
      </w:r>
      <w:r w:rsidR="00010BB1">
        <w:rPr>
          <w:sz w:val="22"/>
        </w:rPr>
        <w:t xml:space="preserve"> (poľné, služobné, reprezentačné)</w:t>
      </w:r>
      <w:r w:rsidR="00BE36E8" w:rsidRPr="00BE36E8">
        <w:rPr>
          <w:sz w:val="22"/>
        </w:rPr>
        <w:t>, blúzy, nohavice, tričká, bundy, čiapky, klobúky a iné súčiastky výstroje vrátane doplnkového materiálu pre O</w:t>
      </w:r>
      <w:r w:rsidR="00BE36E8">
        <w:rPr>
          <w:sz w:val="22"/>
        </w:rPr>
        <w:t>zbrojené sily</w:t>
      </w:r>
      <w:r w:rsidR="00BE36E8" w:rsidRPr="00BE36E8">
        <w:rPr>
          <w:sz w:val="22"/>
        </w:rPr>
        <w:t xml:space="preserve"> SR, V</w:t>
      </w:r>
      <w:r w:rsidR="00BE36E8">
        <w:rPr>
          <w:sz w:val="22"/>
        </w:rPr>
        <w:t>ojenskú políciu</w:t>
      </w:r>
      <w:r w:rsidR="00BE36E8" w:rsidRPr="00BE36E8">
        <w:rPr>
          <w:sz w:val="22"/>
        </w:rPr>
        <w:t xml:space="preserve"> a ostatné zložky MO SR. </w:t>
      </w:r>
    </w:p>
    <w:bookmarkEnd w:id="29"/>
    <w:p w14:paraId="6B4A5333" w14:textId="0E9664EB" w:rsidR="00685870" w:rsidRDefault="00685870" w:rsidP="00685870">
      <w:pPr>
        <w:pStyle w:val="Zkladntext"/>
        <w:tabs>
          <w:tab w:val="left" w:pos="9781"/>
        </w:tabs>
        <w:autoSpaceDE w:val="0"/>
        <w:autoSpaceDN w:val="0"/>
        <w:spacing w:after="120"/>
        <w:ind w:left="567" w:right="142" w:firstLine="0"/>
        <w:rPr>
          <w:sz w:val="22"/>
        </w:rPr>
      </w:pPr>
      <w:r>
        <w:rPr>
          <w:sz w:val="22"/>
        </w:rPr>
        <w:t xml:space="preserve">Súčasťou predmetu zákaziek bude dodanie tovaru </w:t>
      </w:r>
      <w:r w:rsidR="005F3FCC">
        <w:rPr>
          <w:sz w:val="22"/>
        </w:rPr>
        <w:t>ako výsledku krajčírsk</w:t>
      </w:r>
      <w:r w:rsidR="00EF2281">
        <w:rPr>
          <w:sz w:val="22"/>
        </w:rPr>
        <w:t>ych</w:t>
      </w:r>
      <w:r w:rsidR="005F3FCC">
        <w:rPr>
          <w:sz w:val="22"/>
        </w:rPr>
        <w:t xml:space="preserve"> </w:t>
      </w:r>
      <w:r w:rsidR="00EF2281">
        <w:rPr>
          <w:sz w:val="22"/>
        </w:rPr>
        <w:t>služieb</w:t>
      </w:r>
      <w:r w:rsidR="005F3FCC">
        <w:rPr>
          <w:sz w:val="22"/>
        </w:rPr>
        <w:t xml:space="preserve"> </w:t>
      </w:r>
      <w:r>
        <w:rPr>
          <w:sz w:val="22"/>
        </w:rPr>
        <w:t>do miesta dodania (miesta plnenia zmluvy).</w:t>
      </w:r>
    </w:p>
    <w:p w14:paraId="1B40EA22" w14:textId="3AAA4E5C" w:rsidR="00EF2281" w:rsidRDefault="00EF2281" w:rsidP="00685870">
      <w:pPr>
        <w:pStyle w:val="Zkladntext"/>
        <w:tabs>
          <w:tab w:val="left" w:pos="9781"/>
        </w:tabs>
        <w:autoSpaceDE w:val="0"/>
        <w:autoSpaceDN w:val="0"/>
        <w:spacing w:after="120"/>
        <w:ind w:left="567" w:right="142" w:firstLine="0"/>
        <w:rPr>
          <w:sz w:val="22"/>
        </w:rPr>
      </w:pPr>
      <w:r>
        <w:rPr>
          <w:sz w:val="22"/>
        </w:rPr>
        <w:t xml:space="preserve">Súčasťou predmetu zákazky bude preprava materiálu z miesta určeného verejným obstarávateľom </w:t>
      </w:r>
      <w:r>
        <w:rPr>
          <w:sz w:val="22"/>
        </w:rPr>
        <w:br/>
        <w:t>do miesta plnenia a späť a zabezpečenie skúšok v certifikovanej skúšobni za účelom overenia požadovaných parametrov kvality tovaru ako výsledku krajčírskych služieb.</w:t>
      </w:r>
    </w:p>
    <w:p w14:paraId="1B6F2BEF" w14:textId="328CE1BC" w:rsidR="005F3FCC" w:rsidRDefault="005F3FCC" w:rsidP="005F3FCC">
      <w:pPr>
        <w:pStyle w:val="Zkladntext"/>
        <w:tabs>
          <w:tab w:val="left" w:pos="9781"/>
        </w:tabs>
        <w:spacing w:after="120"/>
        <w:ind w:left="567" w:right="142"/>
        <w:rPr>
          <w:sz w:val="22"/>
        </w:rPr>
      </w:pPr>
      <w:r>
        <w:rPr>
          <w:sz w:val="22"/>
        </w:rPr>
        <w:tab/>
      </w:r>
      <w:r w:rsidRPr="005F3FCC">
        <w:rPr>
          <w:sz w:val="22"/>
        </w:rPr>
        <w:t>Verejný obstarávateľ s cieľom zabezpečiť kvalitu požadovaných služieb bude v jednotlivých zákazkách podľa potreby upravovať požiadavky na zabezpečenie kodifikácie, štátne overenie kvality a skúš</w:t>
      </w:r>
      <w:r w:rsidR="00610954">
        <w:rPr>
          <w:sz w:val="22"/>
        </w:rPr>
        <w:t>ok</w:t>
      </w:r>
      <w:r w:rsidRPr="005F3FCC">
        <w:rPr>
          <w:sz w:val="22"/>
        </w:rPr>
        <w:t xml:space="preserve"> v certifikovanej skúšobni. </w:t>
      </w:r>
    </w:p>
    <w:p w14:paraId="3F04AD84" w14:textId="4C26B363" w:rsidR="00043361" w:rsidRPr="005F3FCC" w:rsidRDefault="00B73222" w:rsidP="005F3FCC">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Pr>
          <w:sz w:val="22"/>
        </w:rPr>
        <w:t xml:space="preserve">sociálneho a/alebo environmentálneho hľadiska verejného </w:t>
      </w:r>
      <w:r w:rsidRPr="005F3FCC">
        <w:rPr>
          <w:sz w:val="22"/>
          <w:szCs w:val="22"/>
        </w:rPr>
        <w:t>obstarávania.</w:t>
      </w:r>
      <w:r w:rsidR="005F3FCC" w:rsidRPr="005F3FCC">
        <w:rPr>
          <w:sz w:val="22"/>
          <w:szCs w:val="22"/>
        </w:rPr>
        <w:t xml:space="preserve"> Verejný</w:t>
      </w:r>
      <w:r w:rsidR="005F3FCC">
        <w:t xml:space="preserve"> </w:t>
      </w:r>
      <w:r w:rsidR="005F3FCC" w:rsidRPr="005F3FCC">
        <w:rPr>
          <w:sz w:val="22"/>
          <w:szCs w:val="22"/>
        </w:rPr>
        <w:lastRenderedPageBreak/>
        <w:t xml:space="preserve">obstarávateľ  </w:t>
      </w:r>
      <w:r w:rsidR="005F3FCC">
        <w:rPr>
          <w:sz w:val="22"/>
          <w:szCs w:val="22"/>
        </w:rPr>
        <w:t xml:space="preserve">uplatňovaním spoločensky </w:t>
      </w:r>
      <w:r w:rsidR="005F3FCC" w:rsidRPr="005F3FCC">
        <w:rPr>
          <w:sz w:val="22"/>
          <w:szCs w:val="22"/>
        </w:rPr>
        <w:t xml:space="preserve">zodpovedného verejného obstarávania podporuje nie len lepšie pracovné podmienky zamestnancov a prácu sociálne znevýhodnených občanov, ale podporuje </w:t>
      </w:r>
      <w:r w:rsidR="005F3FCC">
        <w:rPr>
          <w:sz w:val="22"/>
          <w:szCs w:val="22"/>
        </w:rPr>
        <w:br/>
      </w:r>
      <w:r w:rsidR="005F3FCC" w:rsidRPr="005F3FCC">
        <w:rPr>
          <w:sz w:val="22"/>
          <w:szCs w:val="22"/>
        </w:rPr>
        <w:t>aj udržateľné využívanie prírodných zdrojov, dosahovanie zmien v správaní, ktoré smeruje k udržateľnej výrobe a spotrebe, a tiež podnecuje inovácie.</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3A055956" w:rsidR="00EE18D2" w:rsidRDefault="00EE18D2" w:rsidP="00EE18D2">
      <w:pPr>
        <w:pStyle w:val="Odsekzoznamu"/>
        <w:spacing w:after="240"/>
        <w:ind w:left="2124" w:hanging="1557"/>
        <w:rPr>
          <w:sz w:val="22"/>
          <w:szCs w:val="22"/>
        </w:rPr>
      </w:pPr>
      <w:r>
        <w:rPr>
          <w:sz w:val="22"/>
          <w:szCs w:val="22"/>
        </w:rPr>
        <w:t>Hlavný kód:</w:t>
      </w:r>
    </w:p>
    <w:p w14:paraId="46EA4D45" w14:textId="34CAFB82" w:rsidR="00EE18D2" w:rsidRPr="00AF7659" w:rsidRDefault="006332B0" w:rsidP="00AF7659">
      <w:pPr>
        <w:pStyle w:val="Odsekzoznamu"/>
        <w:spacing w:after="240"/>
        <w:ind w:left="2124" w:hanging="1557"/>
        <w:rPr>
          <w:sz w:val="22"/>
          <w:szCs w:val="22"/>
        </w:rPr>
      </w:pPr>
      <w:r>
        <w:rPr>
          <w:sz w:val="22"/>
          <w:szCs w:val="22"/>
        </w:rPr>
        <w:t>9</w:t>
      </w:r>
      <w:r w:rsidR="00AF7659">
        <w:rPr>
          <w:sz w:val="22"/>
          <w:szCs w:val="22"/>
        </w:rPr>
        <w:t>8393</w:t>
      </w:r>
      <w:r w:rsidR="00CE073F" w:rsidRPr="00CE073F">
        <w:rPr>
          <w:sz w:val="22"/>
          <w:szCs w:val="22"/>
        </w:rPr>
        <w:t>000-</w:t>
      </w:r>
      <w:r w:rsidR="00AF7659">
        <w:rPr>
          <w:sz w:val="22"/>
          <w:szCs w:val="22"/>
        </w:rPr>
        <w:t>4</w:t>
      </w:r>
      <w:r w:rsidR="00CE073F" w:rsidRPr="00CE073F">
        <w:rPr>
          <w:sz w:val="22"/>
          <w:szCs w:val="22"/>
        </w:rPr>
        <w:tab/>
      </w:r>
      <w:r w:rsidR="00AF7659">
        <w:rPr>
          <w:sz w:val="22"/>
          <w:szCs w:val="22"/>
        </w:rPr>
        <w:t>Krajčírske služby</w:t>
      </w:r>
    </w:p>
    <w:p w14:paraId="4E9D0E21" w14:textId="5325BEFD" w:rsidR="00201606" w:rsidRPr="00D453F0" w:rsidRDefault="00201606" w:rsidP="00D453F0">
      <w:pPr>
        <w:pStyle w:val="Odsekzoznamu"/>
        <w:tabs>
          <w:tab w:val="left" w:pos="1418"/>
        </w:tabs>
        <w:spacing w:after="120"/>
        <w:ind w:left="567" w:right="56" w:firstLine="0"/>
        <w:rPr>
          <w:sz w:val="22"/>
          <w:szCs w:val="22"/>
        </w:rPr>
      </w:pPr>
      <w:r>
        <w:rPr>
          <w:sz w:val="22"/>
          <w:szCs w:val="22"/>
        </w:rPr>
        <w:t>Predmetom zákaziek zadávaných v rámci DNS bud</w:t>
      </w:r>
      <w:r w:rsidR="00FA070F">
        <w:rPr>
          <w:sz w:val="22"/>
          <w:szCs w:val="22"/>
        </w:rPr>
        <w:t xml:space="preserve">e </w:t>
      </w:r>
      <w:bookmarkStart w:id="31" w:name="_Hlk207606169"/>
      <w:r w:rsidR="00AF7659">
        <w:rPr>
          <w:sz w:val="22"/>
          <w:szCs w:val="22"/>
        </w:rPr>
        <w:t>poskytovanie komplexných krajčírskych služieb</w:t>
      </w:r>
      <w:bookmarkEnd w:id="31"/>
      <w:r w:rsidR="00AF7659">
        <w:rPr>
          <w:sz w:val="22"/>
          <w:szCs w:val="22"/>
        </w:rPr>
        <w:t>,</w:t>
      </w:r>
      <w:r>
        <w:rPr>
          <w:sz w:val="22"/>
          <w:szCs w:val="22"/>
        </w:rPr>
        <w:t xml:space="preserve"> ktoré sú bežne dostupné na trhu a ktoré sú </w:t>
      </w:r>
      <w:r w:rsidR="00AF7659">
        <w:rPr>
          <w:sz w:val="22"/>
          <w:szCs w:val="22"/>
        </w:rPr>
        <w:t>vymedzené</w:t>
      </w:r>
      <w:r>
        <w:rPr>
          <w:sz w:val="22"/>
          <w:szCs w:val="22"/>
        </w:rPr>
        <w:t xml:space="preserve"> podľa spoločného slovníka obstarávania (CPV) v</w:t>
      </w:r>
      <w:r w:rsidR="00AF7659">
        <w:rPr>
          <w:sz w:val="22"/>
          <w:szCs w:val="22"/>
        </w:rPr>
        <w:t> </w:t>
      </w:r>
      <w:r>
        <w:rPr>
          <w:sz w:val="22"/>
          <w:szCs w:val="22"/>
        </w:rPr>
        <w:t>rozsahu</w:t>
      </w:r>
      <w:r w:rsidR="00AF7659">
        <w:rPr>
          <w:b/>
          <w:bCs/>
          <w:sz w:val="22"/>
          <w:szCs w:val="22"/>
        </w:rPr>
        <w:t xml:space="preserve"> </w:t>
      </w:r>
      <w:r w:rsidR="00AF7659" w:rsidRPr="00AF7659">
        <w:rPr>
          <w:sz w:val="22"/>
        </w:rPr>
        <w:t>98393000-4 Krajčírske služby</w:t>
      </w:r>
      <w:r>
        <w:rPr>
          <w:sz w:val="22"/>
          <w:szCs w:val="22"/>
        </w:rPr>
        <w:t>.</w:t>
      </w:r>
    </w:p>
    <w:p w14:paraId="1BC58708" w14:textId="33149452"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a to v závislosti od trhových cien daného tovaru.</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32" w:name="_Toc112167051"/>
      <w:r>
        <w:t>Rozdelenie predmetu zákazky</w:t>
      </w:r>
      <w:bookmarkEnd w:id="32"/>
    </w:p>
    <w:p w14:paraId="64EBD0E8" w14:textId="5FEBBA23"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r w:rsidR="00AF7659">
        <w:rPr>
          <w:sz w:val="22"/>
          <w:szCs w:val="22"/>
        </w:rPr>
        <w:t xml:space="preserve"> služieb</w:t>
      </w:r>
      <w:r>
        <w:rPr>
          <w:sz w:val="22"/>
          <w:szCs w:val="22"/>
        </w:rPr>
        <w:t>.</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270967"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AF7659">
        <w:rPr>
          <w:color w:val="auto"/>
          <w:sz w:val="22"/>
          <w:szCs w:val="22"/>
        </w:rPr>
        <w:t>poskytovateľov</w:t>
      </w:r>
      <w:r>
        <w:rPr>
          <w:color w:val="auto"/>
          <w:sz w:val="22"/>
          <w:szCs w:val="22"/>
        </w:rPr>
        <w:t xml:space="preserve"> na trhu, </w:t>
      </w:r>
      <w:r w:rsidR="00AF7659">
        <w:rPr>
          <w:color w:val="auto"/>
          <w:sz w:val="22"/>
          <w:szCs w:val="22"/>
        </w:rPr>
        <w:br/>
      </w:r>
      <w:r>
        <w:rPr>
          <w:color w:val="auto"/>
          <w:sz w:val="22"/>
          <w:szCs w:val="22"/>
        </w:rPr>
        <w:t xml:space="preserve">ktorými môžu byť aj malé a stredné podniky, </w:t>
      </w:r>
    </w:p>
    <w:p w14:paraId="00710DA9" w14:textId="022C4C0B"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AF7659">
        <w:rPr>
          <w:color w:val="auto"/>
          <w:sz w:val="22"/>
          <w:szCs w:val="22"/>
        </w:rPr>
        <w:t> poskytnutie služieb</w:t>
      </w:r>
      <w:r>
        <w:rPr>
          <w:color w:val="auto"/>
          <w:sz w:val="22"/>
          <w:szCs w:val="22"/>
        </w:rPr>
        <w:t>, ktor</w:t>
      </w:r>
      <w:r w:rsidR="00AF7659">
        <w:rPr>
          <w:color w:val="auto"/>
          <w:sz w:val="22"/>
          <w:szCs w:val="22"/>
        </w:rPr>
        <w:t>é</w:t>
      </w:r>
      <w:r>
        <w:rPr>
          <w:color w:val="auto"/>
          <w:sz w:val="22"/>
          <w:szCs w:val="22"/>
        </w:rPr>
        <w:t xml:space="preserve"> </w:t>
      </w:r>
      <w:r w:rsidR="00AF7659">
        <w:rPr>
          <w:color w:val="auto"/>
          <w:sz w:val="22"/>
          <w:szCs w:val="22"/>
        </w:rPr>
        <w:t>sú</w:t>
      </w:r>
      <w:r>
        <w:rPr>
          <w:color w:val="auto"/>
          <w:sz w:val="22"/>
          <w:szCs w:val="22"/>
        </w:rPr>
        <w:t xml:space="preserve"> bežne dostupn</w:t>
      </w:r>
      <w:r w:rsidR="00AF7659">
        <w:rPr>
          <w:color w:val="auto"/>
          <w:sz w:val="22"/>
          <w:szCs w:val="22"/>
        </w:rPr>
        <w:t>é</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86DE9EE"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w:t>
      </w:r>
      <w:r w:rsidR="00AF7659">
        <w:rPr>
          <w:color w:val="auto"/>
          <w:sz w:val="22"/>
          <w:szCs w:val="22"/>
        </w:rPr>
        <w:t>,</w:t>
      </w:r>
      <w:r>
        <w:rPr>
          <w:color w:val="auto"/>
          <w:sz w:val="22"/>
          <w:szCs w:val="22"/>
        </w:rPr>
        <w:t xml:space="preserve"> nediskriminácie a čestnej hospodárskej súťaže.</w:t>
      </w:r>
    </w:p>
    <w:p w14:paraId="55C1827F" w14:textId="77777777" w:rsidR="00B73222" w:rsidRPr="00581962" w:rsidRDefault="00B73222" w:rsidP="00B73222">
      <w:pPr>
        <w:pStyle w:val="Nadpis2"/>
        <w:rPr>
          <w:sz w:val="24"/>
        </w:rPr>
      </w:pPr>
      <w:bookmarkStart w:id="33" w:name="_Toc90894509"/>
      <w:bookmarkStart w:id="34" w:name="_Toc90894726"/>
      <w:bookmarkStart w:id="35" w:name="_Toc90894890"/>
      <w:bookmarkStart w:id="36" w:name="_Toc90895212"/>
      <w:bookmarkStart w:id="37" w:name="_Toc90895322"/>
      <w:bookmarkStart w:id="38" w:name="_Toc90894511"/>
      <w:bookmarkStart w:id="39" w:name="_Toc98404787"/>
      <w:bookmarkStart w:id="40" w:name="_Toc98404788"/>
      <w:bookmarkStart w:id="41" w:name="_Toc98404790"/>
      <w:bookmarkStart w:id="42" w:name="_Toc98404791"/>
      <w:bookmarkStart w:id="43" w:name="_Toc98404792"/>
      <w:bookmarkStart w:id="44" w:name="_Toc90894515"/>
      <w:bookmarkStart w:id="45" w:name="_Toc98404793"/>
      <w:bookmarkStart w:id="46" w:name="_Toc98404794"/>
      <w:bookmarkStart w:id="47" w:name="_Toc98404795"/>
      <w:bookmarkStart w:id="48" w:name="_Toc98404796"/>
      <w:bookmarkStart w:id="49" w:name="_Toc90894517"/>
      <w:bookmarkStart w:id="50" w:name="_Toc98404797"/>
      <w:bookmarkStart w:id="51" w:name="_Toc98404798"/>
      <w:bookmarkStart w:id="52" w:name="_Toc98404799"/>
      <w:bookmarkStart w:id="53" w:name="_Toc98404800"/>
      <w:bookmarkStart w:id="54" w:name="_Toc98404801"/>
      <w:bookmarkStart w:id="55" w:name="_Toc98404802"/>
      <w:bookmarkStart w:id="56" w:name="_Toc90894519"/>
      <w:bookmarkStart w:id="57" w:name="_Toc98404803"/>
      <w:bookmarkStart w:id="58" w:name="_Toc98404804"/>
      <w:bookmarkStart w:id="59" w:name="_Toc98404805"/>
      <w:bookmarkStart w:id="60" w:name="_Toc98404806"/>
      <w:bookmarkStart w:id="61" w:name="_Toc98404808"/>
      <w:bookmarkStart w:id="62" w:name="_Toc98404809"/>
      <w:bookmarkStart w:id="63" w:name="_Toc90894522"/>
      <w:bookmarkStart w:id="64" w:name="_Toc1121670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81962">
        <w:rPr>
          <w:sz w:val="24"/>
        </w:rPr>
        <w:t>Časť II.</w:t>
      </w:r>
      <w:bookmarkEnd w:id="63"/>
      <w:bookmarkEnd w:id="64"/>
    </w:p>
    <w:p w14:paraId="7BB815D4" w14:textId="77777777" w:rsidR="00B73222" w:rsidRPr="00581962" w:rsidRDefault="00B73222" w:rsidP="00B73222">
      <w:pPr>
        <w:pStyle w:val="Nadpis2"/>
        <w:rPr>
          <w:sz w:val="24"/>
        </w:rPr>
      </w:pPr>
      <w:bookmarkStart w:id="65" w:name="_Toc112167053"/>
      <w:r w:rsidRPr="00581962">
        <w:rPr>
          <w:sz w:val="24"/>
        </w:rPr>
        <w:t>Komunikácia, vysvetľovanie</w:t>
      </w:r>
      <w:bookmarkStart w:id="66" w:name="_Toc90894523"/>
      <w:bookmarkEnd w:id="65"/>
      <w:r w:rsidRPr="00581962">
        <w:rPr>
          <w:sz w:val="24"/>
        </w:rPr>
        <w:t xml:space="preserve"> </w:t>
      </w:r>
      <w:bookmarkEnd w:id="66"/>
    </w:p>
    <w:p w14:paraId="602A6218" w14:textId="77777777" w:rsidR="00B73222" w:rsidRPr="00BC70C9" w:rsidRDefault="00B73222" w:rsidP="00B73222">
      <w:pPr>
        <w:pStyle w:val="Nadpis3"/>
        <w:rPr>
          <w:szCs w:val="28"/>
        </w:rPr>
      </w:pPr>
      <w:bookmarkStart w:id="67" w:name="_Toc90894524"/>
      <w:bookmarkStart w:id="68" w:name="_Toc112167054"/>
      <w:r w:rsidRPr="006300C2">
        <w:t>Komunikácia</w:t>
      </w:r>
      <w:bookmarkEnd w:id="67"/>
      <w:bookmarkEnd w:id="68"/>
      <w:r w:rsidRPr="006300C2">
        <w:t xml:space="preserve"> </w:t>
      </w:r>
      <w:bookmarkStart w:id="69" w:name="_Toc90894525"/>
      <w:bookmarkEnd w:id="69"/>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70"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71" w:name="_Hlk201059541"/>
      <w:bookmarkEnd w:id="70"/>
      <w:r>
        <w:rPr>
          <w:sz w:val="22"/>
          <w:szCs w:val="22"/>
        </w:rPr>
        <w:lastRenderedPageBreak/>
        <w:t xml:space="preserve">JOSEPHINE je na účely tohto verejného obstarávania systém na elektronizáciu zadávania verejných zákaziek, ktorý je ako elektronický prostriedok </w:t>
      </w:r>
      <w:bookmarkStart w:id="72" w:name="_Hlk201059704"/>
      <w:bookmarkStart w:id="73"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72"/>
      <w:r>
        <w:rPr>
          <w:sz w:val="22"/>
          <w:szCs w:val="22"/>
        </w:rPr>
        <w:t xml:space="preserve">. </w:t>
      </w:r>
    </w:p>
    <w:bookmarkEnd w:id="71"/>
    <w:bookmarkEnd w:id="73"/>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74" w:name="_Toc90894526"/>
      <w:bookmarkStart w:id="75" w:name="_Toc90894743"/>
      <w:bookmarkStart w:id="76" w:name="_Toc90894907"/>
      <w:bookmarkStart w:id="77" w:name="_Toc90895229"/>
      <w:bookmarkStart w:id="78" w:name="_Toc90895339"/>
      <w:bookmarkStart w:id="79" w:name="_Toc90894527"/>
      <w:bookmarkStart w:id="80" w:name="_Toc90894744"/>
      <w:bookmarkStart w:id="81" w:name="_Toc90894908"/>
      <w:bookmarkStart w:id="82" w:name="_Toc90895230"/>
      <w:bookmarkStart w:id="83" w:name="_Toc90895340"/>
      <w:bookmarkStart w:id="84" w:name="_Toc90894528"/>
      <w:bookmarkStart w:id="85" w:name="_Toc90894745"/>
      <w:bookmarkStart w:id="86" w:name="_Toc90894909"/>
      <w:bookmarkStart w:id="87" w:name="_Toc90895231"/>
      <w:bookmarkStart w:id="88" w:name="_Toc90895341"/>
      <w:bookmarkStart w:id="89" w:name="_Toc90894529"/>
      <w:bookmarkStart w:id="90" w:name="_Toc90894746"/>
      <w:bookmarkStart w:id="91" w:name="_Toc90894910"/>
      <w:bookmarkStart w:id="92" w:name="_Toc90895232"/>
      <w:bookmarkStart w:id="93" w:name="_Toc90895342"/>
      <w:bookmarkStart w:id="94" w:name="_Toc90894530"/>
      <w:bookmarkStart w:id="95" w:name="_Toc90894747"/>
      <w:bookmarkStart w:id="96" w:name="_Toc90894911"/>
      <w:bookmarkStart w:id="97" w:name="_Toc90895233"/>
      <w:bookmarkStart w:id="98" w:name="_Toc90895343"/>
      <w:bookmarkStart w:id="99" w:name="_Toc90894531"/>
      <w:bookmarkStart w:id="100" w:name="_Toc90894748"/>
      <w:bookmarkStart w:id="101" w:name="_Toc90894912"/>
      <w:bookmarkStart w:id="102" w:name="_Toc90895234"/>
      <w:bookmarkStart w:id="103" w:name="_Toc90895344"/>
      <w:bookmarkStart w:id="104" w:name="_Toc90894532"/>
      <w:bookmarkStart w:id="105" w:name="_Toc90894749"/>
      <w:bookmarkStart w:id="106" w:name="_Toc90894913"/>
      <w:bookmarkStart w:id="107" w:name="_Toc90895235"/>
      <w:bookmarkStart w:id="108" w:name="_Toc90895345"/>
      <w:bookmarkStart w:id="109" w:name="_Toc90894533"/>
      <w:bookmarkStart w:id="110" w:name="_Toc90894750"/>
      <w:bookmarkStart w:id="111" w:name="_Toc90894914"/>
      <w:bookmarkStart w:id="112" w:name="_Toc90895236"/>
      <w:bookmarkStart w:id="113" w:name="_Toc90895346"/>
      <w:bookmarkStart w:id="114" w:name="_Toc90894534"/>
      <w:bookmarkStart w:id="115" w:name="_Toc90894751"/>
      <w:bookmarkStart w:id="116" w:name="_Toc90894915"/>
      <w:bookmarkStart w:id="117" w:name="_Toc90895237"/>
      <w:bookmarkStart w:id="118" w:name="_Toc90895347"/>
      <w:bookmarkStart w:id="119" w:name="_Toc90894535"/>
      <w:bookmarkStart w:id="120" w:name="_Toc90894752"/>
      <w:bookmarkStart w:id="121" w:name="_Toc90894916"/>
      <w:bookmarkStart w:id="122" w:name="_Toc90895238"/>
      <w:bookmarkStart w:id="123" w:name="_Toc90895348"/>
      <w:bookmarkStart w:id="124" w:name="_Toc90894536"/>
      <w:bookmarkStart w:id="125" w:name="_Toc90894753"/>
      <w:bookmarkStart w:id="126" w:name="_Toc90894917"/>
      <w:bookmarkStart w:id="127" w:name="_Toc90895239"/>
      <w:bookmarkStart w:id="128" w:name="_Toc9089534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Pravidlá pre doručovanie</w:t>
      </w:r>
      <w:r w:rsidR="00B73222" w:rsidRPr="006300C2">
        <w:t xml:space="preserve"> </w:t>
      </w:r>
      <w:bookmarkStart w:id="129" w:name="_Toc90894538"/>
      <w:bookmarkEnd w:id="129"/>
    </w:p>
    <w:p w14:paraId="1A4E7EE6" w14:textId="316B28D4"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30" w:name="_Ref90898411"/>
      <w:r>
        <w:rPr>
          <w:sz w:val="22"/>
          <w:szCs w:val="22"/>
        </w:rPr>
        <w:t xml:space="preserve">Zásielka sa považuje za doručenú záujemcovi / uchádzačovi, ak jej adresát </w:t>
      </w:r>
      <w:r w:rsidRPr="00220D50">
        <w:rPr>
          <w:sz w:val="22"/>
          <w:szCs w:val="22"/>
        </w:rPr>
        <w:t>mať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31" w:name="_Ref90900043"/>
      <w:bookmarkEnd w:id="130"/>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31"/>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66107B7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004C5BDB">
        <w:rPr>
          <w:sz w:val="22"/>
          <w:szCs w:val="22"/>
        </w:rPr>
        <w:t xml:space="preserve">7.1. </w:t>
      </w:r>
      <w:r w:rsidRPr="004F1FC1">
        <w:rPr>
          <w:sz w:val="22"/>
          <w:szCs w:val="22"/>
        </w:rPr>
        <w:t xml:space="preserve">týchto súťažných </w:t>
      </w:r>
      <w:r w:rsidRPr="004F1FC1">
        <w:rPr>
          <w:sz w:val="22"/>
          <w:szCs w:val="22"/>
        </w:rPr>
        <w:lastRenderedPageBreak/>
        <w:t xml:space="preserve">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32" w:name="_Hlk201060376"/>
      <w:r>
        <w:rPr>
          <w:sz w:val="22"/>
          <w:szCs w:val="22"/>
        </w:rPr>
        <w:t>komunikačného rozhrania systému JOSEPHINE</w:t>
      </w:r>
      <w:bookmarkEnd w:id="132"/>
      <w:r w:rsidRPr="004F1FC1">
        <w:rPr>
          <w:sz w:val="22"/>
          <w:szCs w:val="22"/>
        </w:rPr>
        <w:t>.</w:t>
      </w:r>
    </w:p>
    <w:p w14:paraId="7FC8175C" w14:textId="49DBD499"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ak vysvetlenie informácií podľa bodu</w:t>
      </w:r>
      <w:r w:rsidR="004C5BDB">
        <w:rPr>
          <w:sz w:val="22"/>
          <w:szCs w:val="22"/>
        </w:rPr>
        <w:t xml:space="preserve"> 7.2. t</w:t>
      </w:r>
      <w:r w:rsidRPr="004F1FC1">
        <w:rPr>
          <w:sz w:val="22"/>
          <w:szCs w:val="22"/>
        </w:rPr>
        <w:t xml:space="preserve">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33" w:name="_Hlk201060484"/>
      <w:r>
        <w:rPr>
          <w:sz w:val="22"/>
          <w:szCs w:val="22"/>
        </w:rPr>
        <w:t>komunikačného rozhrania systému JOSEPHINE</w:t>
      </w:r>
      <w:bookmarkEnd w:id="133"/>
      <w:r w:rsidRPr="004F1FC1">
        <w:rPr>
          <w:sz w:val="22"/>
          <w:szCs w:val="22"/>
        </w:rPr>
        <w:t>.</w:t>
      </w:r>
    </w:p>
    <w:p w14:paraId="0D83036A" w14:textId="77777777" w:rsidR="00B73222" w:rsidRPr="00581962" w:rsidRDefault="00B73222" w:rsidP="00B73222">
      <w:pPr>
        <w:pStyle w:val="Nadpis2"/>
        <w:rPr>
          <w:sz w:val="24"/>
        </w:rPr>
      </w:pPr>
      <w:bookmarkStart w:id="134" w:name="_Toc90894541"/>
      <w:bookmarkStart w:id="135" w:name="_Toc112167056"/>
      <w:r w:rsidRPr="00581962">
        <w:rPr>
          <w:sz w:val="24"/>
        </w:rPr>
        <w:t>Časť III.</w:t>
      </w:r>
      <w:bookmarkEnd w:id="134"/>
      <w:bookmarkEnd w:id="135"/>
    </w:p>
    <w:p w14:paraId="7626B42C" w14:textId="77777777" w:rsidR="00B73222" w:rsidRPr="00511124" w:rsidRDefault="00B73222" w:rsidP="00B73222">
      <w:pPr>
        <w:pStyle w:val="Nadpis2"/>
        <w:rPr>
          <w:b w:val="0"/>
          <w:bCs w:val="0"/>
          <w:sz w:val="24"/>
        </w:rPr>
      </w:pPr>
      <w:bookmarkStart w:id="136" w:name="_Toc112167057"/>
      <w:r>
        <w:rPr>
          <w:sz w:val="24"/>
        </w:rPr>
        <w:t>Žiadosť</w:t>
      </w:r>
      <w:r w:rsidRPr="00581962">
        <w:rPr>
          <w:sz w:val="24"/>
        </w:rPr>
        <w:t xml:space="preserve"> o zaradenie do DNS</w:t>
      </w:r>
      <w:bookmarkStart w:id="137" w:name="_Toc90894543"/>
      <w:bookmarkStart w:id="138" w:name="_Toc90894760"/>
      <w:bookmarkStart w:id="139" w:name="_Toc90894924"/>
      <w:bookmarkStart w:id="140" w:name="_Toc90895246"/>
      <w:bookmarkStart w:id="141" w:name="_Toc90895356"/>
      <w:bookmarkEnd w:id="136"/>
      <w:bookmarkEnd w:id="137"/>
      <w:bookmarkEnd w:id="138"/>
      <w:bookmarkEnd w:id="139"/>
      <w:bookmarkEnd w:id="140"/>
      <w:bookmarkEnd w:id="141"/>
    </w:p>
    <w:p w14:paraId="45DB04CE" w14:textId="77777777" w:rsidR="00B73222" w:rsidRPr="00F07754" w:rsidRDefault="00B73222" w:rsidP="00B73222">
      <w:pPr>
        <w:pStyle w:val="Nadpis3"/>
        <w:rPr>
          <w:szCs w:val="28"/>
        </w:rPr>
      </w:pPr>
      <w:bookmarkStart w:id="142" w:name="_Toc112167058"/>
      <w:r w:rsidRPr="007570A6">
        <w:t>Jazyk žiadosti o</w:t>
      </w:r>
      <w:r>
        <w:t> zaradenie do DNS</w:t>
      </w:r>
      <w:bookmarkEnd w:id="142"/>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43" w:name="_Toc90894548"/>
      <w:bookmarkStart w:id="144" w:name="_Toc90894765"/>
      <w:bookmarkStart w:id="145" w:name="_Toc90894929"/>
      <w:bookmarkStart w:id="146" w:name="_Toc90895251"/>
      <w:bookmarkStart w:id="147" w:name="_Toc90895361"/>
      <w:bookmarkStart w:id="148" w:name="_Toc112167059"/>
      <w:bookmarkEnd w:id="143"/>
      <w:bookmarkEnd w:id="144"/>
      <w:bookmarkEnd w:id="145"/>
      <w:bookmarkEnd w:id="146"/>
      <w:bookmarkEnd w:id="147"/>
      <w:r w:rsidRPr="007570A6">
        <w:t>Obsah žiadosti o</w:t>
      </w:r>
      <w:r>
        <w:t> zaradenie do DNS</w:t>
      </w:r>
      <w:bookmarkEnd w:id="148"/>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3B4568E0"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podmienok účasti,</w:t>
      </w:r>
    </w:p>
    <w:p w14:paraId="510027D5" w14:textId="66901A3D"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 xml:space="preserve">.1. písm. </w:t>
      </w:r>
      <w:proofErr w:type="spellStart"/>
      <w:r>
        <w:rPr>
          <w:bCs/>
          <w:iCs/>
          <w:sz w:val="22"/>
          <w:szCs w:val="22"/>
        </w:rPr>
        <w:t>aa</w:t>
      </w:r>
      <w:proofErr w:type="spellEnd"/>
      <w:r>
        <w:rPr>
          <w:bCs/>
          <w:iCs/>
          <w:sz w:val="22"/>
          <w:szCs w:val="22"/>
        </w:rPr>
        <w:t>) týchto súťažných podkladov,</w:t>
      </w:r>
    </w:p>
    <w:p w14:paraId="04DE6F3D" w14:textId="70D5208E"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oprávnenie konať s</w:t>
      </w:r>
      <w:r w:rsidR="00AA4391">
        <w:rPr>
          <w:bCs/>
          <w:sz w:val="22"/>
          <w:szCs w:val="22"/>
        </w:rPr>
        <w:t>plnomocnením) podľa prílohy č. 5</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9" w:name="_Toc90894552"/>
      <w:bookmarkStart w:id="150" w:name="_Toc90894769"/>
      <w:bookmarkStart w:id="151" w:name="_Toc90894933"/>
      <w:bookmarkStart w:id="152" w:name="_Toc90895255"/>
      <w:bookmarkStart w:id="153" w:name="_Toc90895365"/>
      <w:bookmarkStart w:id="154" w:name="_Toc90894553"/>
      <w:bookmarkStart w:id="155" w:name="_Toc90894770"/>
      <w:bookmarkStart w:id="156" w:name="_Toc90894934"/>
      <w:bookmarkStart w:id="157" w:name="_Toc90895256"/>
      <w:bookmarkStart w:id="158" w:name="_Toc90895366"/>
      <w:bookmarkStart w:id="159" w:name="_Toc90894555"/>
      <w:bookmarkStart w:id="160" w:name="_Toc90894772"/>
      <w:bookmarkStart w:id="161" w:name="_Toc90894936"/>
      <w:bookmarkStart w:id="162" w:name="_Toc90895258"/>
      <w:bookmarkStart w:id="163" w:name="_Toc90895368"/>
      <w:bookmarkStart w:id="164" w:name="_Toc90894556"/>
      <w:bookmarkStart w:id="165" w:name="_Toc90894773"/>
      <w:bookmarkStart w:id="166" w:name="_Toc90894937"/>
      <w:bookmarkStart w:id="167" w:name="_Toc90895259"/>
      <w:bookmarkStart w:id="168" w:name="_Toc90895369"/>
      <w:bookmarkStart w:id="169" w:name="_Toc90894557"/>
      <w:bookmarkStart w:id="170" w:name="_Toc90894774"/>
      <w:bookmarkStart w:id="171" w:name="_Toc90894938"/>
      <w:bookmarkStart w:id="172" w:name="_Toc90895260"/>
      <w:bookmarkStart w:id="173" w:name="_Toc90895370"/>
      <w:bookmarkStart w:id="174" w:name="_Toc90894558"/>
      <w:bookmarkStart w:id="175" w:name="_Toc90894775"/>
      <w:bookmarkStart w:id="176" w:name="_Toc90894939"/>
      <w:bookmarkStart w:id="177" w:name="_Toc90895261"/>
      <w:bookmarkStart w:id="178" w:name="_Toc90895371"/>
      <w:bookmarkStart w:id="179" w:name="_Toc90894559"/>
      <w:bookmarkStart w:id="180" w:name="_Toc90894776"/>
      <w:bookmarkStart w:id="181" w:name="_Toc90894940"/>
      <w:bookmarkStart w:id="182" w:name="_Toc90895262"/>
      <w:bookmarkStart w:id="183" w:name="_Toc90895372"/>
      <w:bookmarkStart w:id="184" w:name="_Toc90894560"/>
      <w:bookmarkStart w:id="185" w:name="_Toc90894777"/>
      <w:bookmarkStart w:id="186" w:name="_Toc90894941"/>
      <w:bookmarkStart w:id="187" w:name="_Toc90895263"/>
      <w:bookmarkStart w:id="188" w:name="_Toc90895373"/>
      <w:bookmarkStart w:id="189" w:name="_Toc90894561"/>
      <w:bookmarkStart w:id="190" w:name="_Toc90894778"/>
      <w:bookmarkStart w:id="191" w:name="_Toc90894942"/>
      <w:bookmarkStart w:id="192" w:name="_Toc90895264"/>
      <w:bookmarkStart w:id="193" w:name="_Toc90895374"/>
      <w:bookmarkStart w:id="194" w:name="_Toc90894562"/>
      <w:bookmarkStart w:id="195" w:name="_Toc90894779"/>
      <w:bookmarkStart w:id="196" w:name="_Toc90894943"/>
      <w:bookmarkStart w:id="197" w:name="_Toc90895265"/>
      <w:bookmarkStart w:id="198" w:name="_Toc90895375"/>
      <w:bookmarkStart w:id="199" w:name="_Toc90894563"/>
      <w:bookmarkStart w:id="200" w:name="_Toc90894780"/>
      <w:bookmarkStart w:id="201" w:name="_Toc90894944"/>
      <w:bookmarkStart w:id="202" w:name="_Toc90895266"/>
      <w:bookmarkStart w:id="203" w:name="_Toc90895376"/>
      <w:bookmarkStart w:id="204" w:name="_Toc90894564"/>
      <w:bookmarkStart w:id="205" w:name="_Toc90894781"/>
      <w:bookmarkStart w:id="206" w:name="_Toc90894945"/>
      <w:bookmarkStart w:id="207" w:name="_Toc90895267"/>
      <w:bookmarkStart w:id="208" w:name="_Toc90895377"/>
      <w:bookmarkStart w:id="209" w:name="_Toc90894565"/>
      <w:bookmarkStart w:id="210" w:name="_Toc90894782"/>
      <w:bookmarkStart w:id="211" w:name="_Toc90894946"/>
      <w:bookmarkStart w:id="212" w:name="_Toc90895268"/>
      <w:bookmarkStart w:id="213" w:name="_Toc90895378"/>
      <w:bookmarkStart w:id="214" w:name="_Toc90894566"/>
      <w:bookmarkStart w:id="215" w:name="_Toc90894783"/>
      <w:bookmarkStart w:id="216" w:name="_Toc90894947"/>
      <w:bookmarkStart w:id="217" w:name="_Toc90895269"/>
      <w:bookmarkStart w:id="218" w:name="_Toc90895379"/>
      <w:bookmarkStart w:id="219" w:name="_Toc90894567"/>
      <w:bookmarkStart w:id="220" w:name="_Toc90894784"/>
      <w:bookmarkStart w:id="221" w:name="_Toc90894948"/>
      <w:bookmarkStart w:id="222" w:name="_Toc90895270"/>
      <w:bookmarkStart w:id="223" w:name="_Toc90895380"/>
      <w:bookmarkStart w:id="224" w:name="_Toc90894568"/>
      <w:bookmarkStart w:id="225" w:name="_Toc90894785"/>
      <w:bookmarkStart w:id="226" w:name="_Toc90894949"/>
      <w:bookmarkStart w:id="227" w:name="_Toc90895271"/>
      <w:bookmarkStart w:id="228" w:name="_Toc90895381"/>
      <w:bookmarkStart w:id="229" w:name="_Toc90894569"/>
      <w:bookmarkStart w:id="230" w:name="_Toc90894786"/>
      <w:bookmarkStart w:id="231" w:name="_Toc90894950"/>
      <w:bookmarkStart w:id="232" w:name="_Toc90895272"/>
      <w:bookmarkStart w:id="233" w:name="_Toc90895382"/>
      <w:bookmarkStart w:id="234" w:name="_Toc90894570"/>
      <w:bookmarkStart w:id="235" w:name="_Toc90894787"/>
      <w:bookmarkStart w:id="236" w:name="_Toc90894951"/>
      <w:bookmarkStart w:id="237" w:name="_Toc90895273"/>
      <w:bookmarkStart w:id="238" w:name="_Toc90895383"/>
      <w:bookmarkStart w:id="239" w:name="_Toc90894571"/>
      <w:bookmarkStart w:id="240" w:name="_Toc90894788"/>
      <w:bookmarkStart w:id="241" w:name="_Toc90894952"/>
      <w:bookmarkStart w:id="242" w:name="_Toc90895274"/>
      <w:bookmarkStart w:id="243" w:name="_Toc9089538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A3D9069" w14:textId="77777777" w:rsidR="00B73222" w:rsidRPr="00581962" w:rsidRDefault="00B73222" w:rsidP="00B73222">
      <w:pPr>
        <w:pStyle w:val="Nadpis2"/>
        <w:rPr>
          <w:b w:val="0"/>
          <w:sz w:val="24"/>
        </w:rPr>
      </w:pPr>
      <w:bookmarkStart w:id="244" w:name="_Toc90894577"/>
      <w:bookmarkStart w:id="245" w:name="_Toc112167060"/>
      <w:r w:rsidRPr="00581962">
        <w:rPr>
          <w:sz w:val="24"/>
        </w:rPr>
        <w:lastRenderedPageBreak/>
        <w:t>Časť IV.</w:t>
      </w:r>
      <w:bookmarkEnd w:id="244"/>
      <w:bookmarkEnd w:id="245"/>
    </w:p>
    <w:p w14:paraId="76D9BAF9" w14:textId="77777777" w:rsidR="00B73222" w:rsidRPr="00581962" w:rsidRDefault="00B73222" w:rsidP="00B73222">
      <w:pPr>
        <w:pStyle w:val="Nadpis2"/>
        <w:rPr>
          <w:sz w:val="24"/>
        </w:rPr>
      </w:pPr>
      <w:bookmarkStart w:id="246" w:name="_Toc90894578"/>
      <w:bookmarkStart w:id="247" w:name="_Toc112167061"/>
      <w:r w:rsidRPr="00581962">
        <w:rPr>
          <w:sz w:val="24"/>
        </w:rPr>
        <w:t xml:space="preserve">Predkladanie </w:t>
      </w:r>
      <w:bookmarkEnd w:id="246"/>
      <w:r w:rsidRPr="00581962">
        <w:rPr>
          <w:sz w:val="24"/>
        </w:rPr>
        <w:t>žiadosti o zaradenie do DNS</w:t>
      </w:r>
      <w:bookmarkEnd w:id="247"/>
    </w:p>
    <w:p w14:paraId="19E6D074" w14:textId="77777777" w:rsidR="00B73222" w:rsidRPr="00FB1B0D" w:rsidRDefault="00B73222" w:rsidP="00B73222">
      <w:pPr>
        <w:pStyle w:val="Nadpis3"/>
      </w:pPr>
      <w:bookmarkStart w:id="248" w:name="_Toc90894579"/>
      <w:bookmarkStart w:id="249" w:name="_Ref112139079"/>
      <w:bookmarkStart w:id="250" w:name="_Toc112167062"/>
      <w:r w:rsidRPr="0069212E">
        <w:t>Lehota na predkladanie</w:t>
      </w:r>
      <w:bookmarkStart w:id="251" w:name="_Toc90894580"/>
      <w:bookmarkEnd w:id="248"/>
      <w:bookmarkEnd w:id="251"/>
      <w:r>
        <w:t xml:space="preserve"> žiadosti o zaradenie do DNS</w:t>
      </w:r>
      <w:bookmarkStart w:id="252" w:name="_Ref90366266"/>
      <w:bookmarkEnd w:id="249"/>
      <w:bookmarkEnd w:id="250"/>
    </w:p>
    <w:p w14:paraId="46D7BE7E" w14:textId="178F803B"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stanovená </w:t>
      </w:r>
      <w:r w:rsidRPr="00D66805">
        <w:rPr>
          <w:b/>
          <w:color w:val="FF0000"/>
          <w:sz w:val="22"/>
          <w:szCs w:val="22"/>
        </w:rPr>
        <w:t xml:space="preserve">do </w:t>
      </w:r>
      <w:r w:rsidR="004C5BDB">
        <w:rPr>
          <w:b/>
          <w:color w:val="FF0000"/>
          <w:sz w:val="22"/>
          <w:szCs w:val="22"/>
        </w:rPr>
        <w:t>09</w:t>
      </w:r>
      <w:r w:rsidRPr="00D66805">
        <w:rPr>
          <w:b/>
          <w:color w:val="FF0000"/>
          <w:sz w:val="22"/>
          <w:szCs w:val="22"/>
        </w:rPr>
        <w:t>.</w:t>
      </w:r>
      <w:r w:rsidR="00AF7659">
        <w:rPr>
          <w:b/>
          <w:color w:val="FF0000"/>
          <w:sz w:val="22"/>
          <w:szCs w:val="22"/>
        </w:rPr>
        <w:t>10</w:t>
      </w:r>
      <w:r w:rsidRPr="00D66805">
        <w:rPr>
          <w:b/>
          <w:color w:val="FF0000"/>
          <w:sz w:val="22"/>
          <w:szCs w:val="22"/>
        </w:rPr>
        <w:t>.202</w:t>
      </w:r>
      <w:r w:rsidR="004B712D" w:rsidRPr="00D66805">
        <w:rPr>
          <w:b/>
          <w:color w:val="FF0000"/>
          <w:sz w:val="22"/>
          <w:szCs w:val="22"/>
        </w:rPr>
        <w:t>5</w:t>
      </w:r>
      <w:r w:rsidRPr="00D66805">
        <w:rPr>
          <w:b/>
          <w:color w:val="FF0000"/>
          <w:sz w:val="22"/>
          <w:szCs w:val="22"/>
        </w:rPr>
        <w:t xml:space="preserve"> do 09,00 hod</w:t>
      </w:r>
      <w:r w:rsidRPr="00AF7659">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52"/>
    </w:p>
    <w:p w14:paraId="61F8EB01" w14:textId="77777777" w:rsidR="00B73222" w:rsidRPr="00FB1B0D" w:rsidRDefault="00B73222" w:rsidP="00B73222">
      <w:pPr>
        <w:pStyle w:val="Nadpis3"/>
      </w:pPr>
      <w:bookmarkStart w:id="253" w:name="_Ref90371162"/>
      <w:bookmarkStart w:id="254" w:name="_Toc90894581"/>
      <w:bookmarkStart w:id="255" w:name="_Toc112167063"/>
      <w:r w:rsidRPr="00F1694B">
        <w:t>Predloženie</w:t>
      </w:r>
      <w:bookmarkEnd w:id="253"/>
      <w:bookmarkEnd w:id="254"/>
      <w:r>
        <w:t xml:space="preserve"> žiadosti o zaradenie do DNS</w:t>
      </w:r>
      <w:bookmarkEnd w:id="255"/>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56"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56"/>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57"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57"/>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w:t>
      </w:r>
      <w:r>
        <w:rPr>
          <w:rStyle w:val="Zkladntext20"/>
          <w:rFonts w:ascii="Times New Roman" w:hAnsi="Times New Roman" w:cs="Times New Roman"/>
          <w:sz w:val="22"/>
          <w:szCs w:val="22"/>
        </w:rPr>
        <w:lastRenderedPageBreak/>
        <w:t xml:space="preserve">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58" w:name="_Toc90894582"/>
      <w:bookmarkStart w:id="259" w:name="_Toc112167064"/>
      <w:r w:rsidRPr="0069212E">
        <w:t xml:space="preserve">Doplnenie, zmena a odvolanie </w:t>
      </w:r>
      <w:bookmarkEnd w:id="258"/>
      <w:r>
        <w:t>žiadosti o zaradenie do DNS</w:t>
      </w:r>
      <w:bookmarkEnd w:id="259"/>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60" w:name="_Toc90894583"/>
      <w:bookmarkStart w:id="261" w:name="_Toc90894800"/>
      <w:bookmarkStart w:id="262" w:name="_Toc90894964"/>
      <w:bookmarkStart w:id="263" w:name="_Toc90895286"/>
      <w:bookmarkStart w:id="264" w:name="_Toc90895396"/>
      <w:bookmarkStart w:id="265" w:name="_Toc90894584"/>
      <w:bookmarkStart w:id="266" w:name="_Toc112167065"/>
      <w:bookmarkEnd w:id="260"/>
      <w:bookmarkEnd w:id="261"/>
      <w:bookmarkEnd w:id="262"/>
      <w:bookmarkEnd w:id="263"/>
      <w:bookmarkEnd w:id="264"/>
      <w:r>
        <w:t>Záujemca</w:t>
      </w:r>
      <w:r w:rsidRPr="006300C2">
        <w:t xml:space="preserve"> oprávnený predložiť </w:t>
      </w:r>
      <w:bookmarkEnd w:id="265"/>
      <w:r>
        <w:t>žiadosť o zaradenie do DNS</w:t>
      </w:r>
      <w:bookmarkEnd w:id="266"/>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67" w:name="_Toc112167066"/>
      <w:r>
        <w:t>Dôvernosť verejného obstarávania</w:t>
      </w:r>
      <w:bookmarkEnd w:id="267"/>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68" w:name="_Toc90894586"/>
      <w:bookmarkStart w:id="269" w:name="_Toc112167067"/>
      <w:r w:rsidRPr="00A66A0D">
        <w:rPr>
          <w:sz w:val="24"/>
        </w:rPr>
        <w:t>Časť V.</w:t>
      </w:r>
      <w:bookmarkEnd w:id="268"/>
      <w:bookmarkEnd w:id="269"/>
    </w:p>
    <w:p w14:paraId="2EFFBABB" w14:textId="77777777" w:rsidR="00B73222" w:rsidRPr="00A66A0D" w:rsidRDefault="00B73222" w:rsidP="00B73222">
      <w:pPr>
        <w:pStyle w:val="Nadpis2"/>
        <w:rPr>
          <w:sz w:val="24"/>
        </w:rPr>
      </w:pPr>
      <w:r w:rsidRPr="00A66A0D">
        <w:rPr>
          <w:sz w:val="24"/>
        </w:rPr>
        <w:t xml:space="preserve">          </w:t>
      </w:r>
      <w:bookmarkStart w:id="270" w:name="_Toc112167068"/>
      <w:r w:rsidRPr="00A66A0D">
        <w:rPr>
          <w:sz w:val="24"/>
        </w:rPr>
        <w:t>Podmienky účasti</w:t>
      </w:r>
      <w:bookmarkEnd w:id="270"/>
    </w:p>
    <w:p w14:paraId="23AB5D9E" w14:textId="77777777" w:rsidR="00B73222" w:rsidRDefault="00B73222" w:rsidP="00B73222">
      <w:pPr>
        <w:pStyle w:val="Nadpis3"/>
      </w:pPr>
      <w:bookmarkStart w:id="271" w:name="_Toc112167069"/>
      <w:r>
        <w:t>Určenie podmienok účasti</w:t>
      </w:r>
      <w:bookmarkEnd w:id="271"/>
    </w:p>
    <w:p w14:paraId="00334D65" w14:textId="0CDC6A79" w:rsidR="00B73222" w:rsidRPr="00281817" w:rsidRDefault="00B73222" w:rsidP="00B73222">
      <w:pPr>
        <w:pStyle w:val="Zkladntext"/>
        <w:numPr>
          <w:ilvl w:val="1"/>
          <w:numId w:val="22"/>
        </w:numPr>
        <w:autoSpaceDE w:val="0"/>
        <w:autoSpaceDN w:val="0"/>
        <w:ind w:left="567" w:right="139" w:hanging="567"/>
      </w:pPr>
      <w:bookmarkStart w:id="272"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9C48E6">
        <w:rPr>
          <w:sz w:val="22"/>
          <w:szCs w:val="22"/>
          <w:lang w:bidi="sk-SK"/>
        </w:rPr>
        <w:t xml:space="preserve"> a podmienky účasti týkajúce sa technickej alebo odbornej spôsobilosti podľa § 34 ods. 1 ZVO, </w:t>
      </w:r>
      <w:r w:rsidR="00281817">
        <w:rPr>
          <w:sz w:val="22"/>
          <w:szCs w:val="22"/>
          <w:lang w:bidi="sk-SK"/>
        </w:rPr>
        <w:t>ktoré sú uvedené výhradne v oznámení o vyhlásení verejného obstarávania k tomuto DNS.</w:t>
      </w:r>
    </w:p>
    <w:p w14:paraId="4DE70536" w14:textId="56BE39D1" w:rsidR="00B73222" w:rsidRPr="006642D1" w:rsidRDefault="00B73222" w:rsidP="00B73222">
      <w:pPr>
        <w:pStyle w:val="Nadpis3"/>
      </w:pPr>
      <w:bookmarkStart w:id="273" w:name="_Toc112167070"/>
      <w:bookmarkStart w:id="274" w:name="_Hlk207194413"/>
      <w:bookmarkEnd w:id="272"/>
      <w:r>
        <w:t>P</w:t>
      </w:r>
      <w:bookmarkEnd w:id="273"/>
      <w:r w:rsidR="009C48E6">
        <w:t xml:space="preserve">odmienky účasti osobného </w:t>
      </w:r>
      <w:bookmarkEnd w:id="274"/>
      <w:r w:rsidR="009C48E6">
        <w:t>postavenia</w:t>
      </w:r>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444400">
      <w:pPr>
        <w:numPr>
          <w:ilvl w:val="0"/>
          <w:numId w:val="26"/>
        </w:numPr>
        <w:autoSpaceDE w:val="0"/>
        <w:autoSpaceDN w:val="0"/>
        <w:spacing w:after="0"/>
        <w:ind w:left="993" w:right="198" w:hanging="284"/>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w:t>
      </w:r>
      <w:r w:rsidRPr="007756EF">
        <w:rPr>
          <w:rFonts w:eastAsia="Calibri"/>
          <w:sz w:val="22"/>
          <w:szCs w:val="22"/>
          <w:lang w:eastAsia="en-US"/>
        </w:rPr>
        <w:lastRenderedPageBreak/>
        <w:t xml:space="preserve">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37D033EE" w:rsidR="007756EF" w:rsidRDefault="002447B3" w:rsidP="002447B3">
      <w:pPr>
        <w:autoSpaceDE w:val="0"/>
        <w:autoSpaceDN w:val="0"/>
        <w:spacing w:after="0"/>
        <w:ind w:left="1413" w:right="198" w:hanging="420"/>
        <w:rPr>
          <w:rFonts w:eastAsia="Calibri"/>
          <w:sz w:val="22"/>
          <w:szCs w:val="22"/>
          <w:lang w:eastAsia="en-US"/>
        </w:rPr>
      </w:pPr>
      <w:proofErr w:type="spellStart"/>
      <w:r>
        <w:rPr>
          <w:rFonts w:eastAsia="Calibri"/>
          <w:sz w:val="22"/>
          <w:szCs w:val="22"/>
          <w:lang w:eastAsia="en-US"/>
        </w:rPr>
        <w:t>aa</w:t>
      </w:r>
      <w:proofErr w:type="spellEnd"/>
      <w:r>
        <w:rPr>
          <w:rFonts w:eastAsia="Calibri"/>
          <w:sz w:val="22"/>
          <w:szCs w:val="22"/>
          <w:lang w:eastAsia="en-US"/>
        </w:rPr>
        <w:t>)</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7756EF" w:rsidRPr="00167C91">
        <w:rPr>
          <w:rFonts w:eastAsia="Calibri"/>
          <w:b/>
          <w:bCs/>
          <w:sz w:val="22"/>
          <w:szCs w:val="22"/>
          <w:lang w:eastAsia="en-US"/>
        </w:rPr>
        <w:t>7</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6CECCCD4"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BD4C0D">
        <w:rPr>
          <w:rFonts w:eastAsia="Calibri"/>
          <w:sz w:val="22"/>
          <w:szCs w:val="22"/>
          <w:lang w:eastAsia="en-US"/>
        </w:rPr>
        <w:t>dodávať tovar</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BD4C0D">
        <w:rPr>
          <w:b/>
          <w:sz w:val="22"/>
          <w:szCs w:val="22"/>
        </w:rPr>
        <w:t>dodávať tovar</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0F22DFF8"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4C5BDB">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 xml:space="preserve">s výnimkou podmienky účasti osobného postavenia </w:t>
      </w:r>
      <w:r w:rsidR="002447B3">
        <w:rPr>
          <w:color w:val="000000"/>
          <w:sz w:val="22"/>
          <w:szCs w:val="22"/>
        </w:rPr>
        <w:lastRenderedPageBreak/>
        <w:t>podľa bodu 1</w:t>
      </w:r>
      <w:r w:rsidR="00546562">
        <w:rPr>
          <w:color w:val="000000"/>
          <w:sz w:val="22"/>
          <w:szCs w:val="22"/>
        </w:rPr>
        <w:t>6</w:t>
      </w:r>
      <w:r w:rsidR="002447B3">
        <w:rPr>
          <w:color w:val="000000"/>
          <w:sz w:val="22"/>
          <w:szCs w:val="22"/>
        </w:rPr>
        <w:t xml:space="preserve">.1. písm. </w:t>
      </w:r>
      <w:proofErr w:type="spellStart"/>
      <w:r w:rsidR="002447B3">
        <w:rPr>
          <w:color w:val="000000"/>
          <w:sz w:val="22"/>
          <w:szCs w:val="22"/>
        </w:rPr>
        <w:t>aa</w:t>
      </w:r>
      <w:proofErr w:type="spellEnd"/>
      <w:r w:rsidR="002447B3">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3F58CF9"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 xml:space="preserve">.1. písm. </w:t>
            </w:r>
            <w:proofErr w:type="spellStart"/>
            <w:r w:rsidR="002447B3" w:rsidRPr="002447B3">
              <w:rPr>
                <w:b/>
                <w:bCs/>
                <w:sz w:val="22"/>
                <w:szCs w:val="24"/>
              </w:rPr>
              <w:t>aa</w:t>
            </w:r>
            <w:proofErr w:type="spellEnd"/>
            <w:r w:rsidR="002447B3" w:rsidRPr="002447B3">
              <w:rPr>
                <w:b/>
                <w:bCs/>
                <w:sz w:val="22"/>
                <w:szCs w:val="24"/>
              </w:rPr>
              <w:t>)</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 xml:space="preserve">.1. písm. </w:t>
            </w:r>
            <w:proofErr w:type="spellStart"/>
            <w:r w:rsidR="002447B3" w:rsidRPr="00CE3FAE">
              <w:rPr>
                <w:sz w:val="22"/>
                <w:szCs w:val="24"/>
                <w:u w:val="single"/>
              </w:rPr>
              <w:t>aa</w:t>
            </w:r>
            <w:proofErr w:type="spellEnd"/>
            <w:r w:rsidR="002447B3" w:rsidRPr="00CE3FAE">
              <w:rPr>
                <w:sz w:val="22"/>
                <w:szCs w:val="24"/>
                <w:u w:val="single"/>
              </w:rPr>
              <w:t>)</w:t>
            </w:r>
            <w:r w:rsidR="00CE3FAE">
              <w:rPr>
                <w:sz w:val="22"/>
                <w:szCs w:val="24"/>
              </w:rPr>
              <w:t xml:space="preserve"> tejto časti súťažných podkladov </w:t>
            </w:r>
            <w:r w:rsidR="00CE3FAE" w:rsidRPr="00CE3FAE">
              <w:rPr>
                <w:b/>
                <w:bCs/>
                <w:sz w:val="22"/>
                <w:szCs w:val="24"/>
              </w:rPr>
              <w:t>čestným vyhlásením podľa prílohy č. 7 týchto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w:t>
      </w:r>
      <w:proofErr w:type="spellStart"/>
      <w:r w:rsidRPr="0006119A">
        <w:rPr>
          <w:sz w:val="22"/>
          <w:szCs w:val="22"/>
        </w:rPr>
        <w:t>om</w:t>
      </w:r>
      <w:proofErr w:type="spellEnd"/>
      <w:r w:rsidRPr="0006119A">
        <w:rPr>
          <w:sz w:val="22"/>
          <w:szCs w:val="22"/>
        </w:rPr>
        <w:t xml:space="preserve">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389D0D5F"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6431FE">
        <w:rPr>
          <w:sz w:val="22"/>
          <w:szCs w:val="22"/>
          <w:shd w:val="clear" w:color="auto" w:fill="FFFFFF"/>
        </w:rPr>
        <w:t>8</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lastRenderedPageBreak/>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BDA9B88" w14:textId="5ABCF824" w:rsidR="00B73222" w:rsidRPr="009C48E6" w:rsidRDefault="00B73222" w:rsidP="00B73222">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p>
    <w:p w14:paraId="1C8D8082" w14:textId="77777777" w:rsidR="00B73222" w:rsidRPr="00A66A0D" w:rsidRDefault="00B73222" w:rsidP="00B73222">
      <w:pPr>
        <w:pStyle w:val="Nadpis2"/>
        <w:tabs>
          <w:tab w:val="left" w:pos="8880"/>
        </w:tabs>
        <w:ind w:right="139"/>
        <w:rPr>
          <w:sz w:val="24"/>
        </w:rPr>
      </w:pPr>
      <w:bookmarkStart w:id="275" w:name="_Toc112167071"/>
      <w:bookmarkStart w:id="276" w:name="_Toc90894587"/>
      <w:r w:rsidRPr="00A66A0D">
        <w:rPr>
          <w:sz w:val="24"/>
        </w:rPr>
        <w:t>Časť VI.</w:t>
      </w:r>
      <w:bookmarkEnd w:id="275"/>
    </w:p>
    <w:p w14:paraId="7B87B55E" w14:textId="77777777" w:rsidR="00B73222" w:rsidRPr="00A66A0D" w:rsidRDefault="00B73222" w:rsidP="00B73222">
      <w:pPr>
        <w:pStyle w:val="Nadpis2"/>
        <w:tabs>
          <w:tab w:val="left" w:pos="8880"/>
        </w:tabs>
        <w:ind w:right="139"/>
        <w:rPr>
          <w:b w:val="0"/>
          <w:sz w:val="24"/>
        </w:rPr>
      </w:pPr>
      <w:bookmarkStart w:id="277" w:name="_Toc112167072"/>
      <w:r w:rsidRPr="00A66A0D">
        <w:rPr>
          <w:sz w:val="24"/>
        </w:rPr>
        <w:t xml:space="preserve">Vyhodnotenie </w:t>
      </w:r>
      <w:bookmarkEnd w:id="276"/>
      <w:r w:rsidRPr="00A66A0D">
        <w:rPr>
          <w:sz w:val="24"/>
        </w:rPr>
        <w:t>doručených žiadostí o zaradenie do DNS</w:t>
      </w:r>
      <w:bookmarkEnd w:id="277"/>
    </w:p>
    <w:p w14:paraId="2045D58E" w14:textId="77777777" w:rsidR="00B73222" w:rsidRPr="00160AC1" w:rsidRDefault="00B73222" w:rsidP="00B73222">
      <w:pPr>
        <w:pStyle w:val="Nadpis3"/>
      </w:pPr>
      <w:bookmarkStart w:id="278" w:name="_Toc112167073"/>
      <w:r>
        <w:t>Vyhodnotenie doručených žiadostí o zaradenie do DNS</w:t>
      </w:r>
      <w:bookmarkEnd w:id="278"/>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9" w:name="_Toc112167074"/>
      <w:r>
        <w:t>Zrušenie použitého postupu zadávania zákazky</w:t>
      </w:r>
      <w:bookmarkEnd w:id="279"/>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80" w:name="_Toc112167075"/>
      <w:r w:rsidRPr="00922A8F">
        <w:t>Aplikácia zákona o verejnom obstarávaní</w:t>
      </w:r>
      <w:bookmarkEnd w:id="280"/>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81" w:name="_Toc90894603"/>
      <w:bookmarkStart w:id="282" w:name="_Toc90894820"/>
      <w:bookmarkStart w:id="283" w:name="_Toc90894984"/>
      <w:bookmarkStart w:id="284" w:name="_Toc90895306"/>
      <w:bookmarkStart w:id="285" w:name="_Toc90895416"/>
      <w:bookmarkEnd w:id="281"/>
      <w:bookmarkEnd w:id="282"/>
      <w:bookmarkEnd w:id="283"/>
      <w:bookmarkEnd w:id="284"/>
      <w:bookmarkEnd w:id="285"/>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5051" w14:textId="77777777" w:rsidR="00C11251" w:rsidRDefault="00C11251" w:rsidP="00B73222">
      <w:pPr>
        <w:spacing w:after="0"/>
      </w:pPr>
      <w:r>
        <w:separator/>
      </w:r>
    </w:p>
  </w:endnote>
  <w:endnote w:type="continuationSeparator" w:id="0">
    <w:p w14:paraId="05821BB6" w14:textId="77777777" w:rsidR="00C11251" w:rsidRDefault="00C11251"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3FEA4B20"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B817EC">
      <w:t>Šitie výstrojných súčiastok a odevov</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616F" w14:textId="77777777" w:rsidR="00C11251" w:rsidRDefault="00C11251" w:rsidP="00B73222">
      <w:pPr>
        <w:spacing w:after="0"/>
      </w:pPr>
      <w:r>
        <w:separator/>
      </w:r>
    </w:p>
  </w:footnote>
  <w:footnote w:type="continuationSeparator" w:id="0">
    <w:p w14:paraId="455D0D88" w14:textId="77777777" w:rsidR="00C11251" w:rsidRDefault="00C11251"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56566973"/>
    <w:multiLevelType w:val="hybridMultilevel"/>
    <w:tmpl w:val="5B844D7C"/>
    <w:lvl w:ilvl="0" w:tplc="ECCCFA58">
      <w:start w:val="1"/>
      <w:numFmt w:val="lowerLetter"/>
      <w:lvlText w:val="%1)"/>
      <w:lvlJc w:val="left"/>
      <w:pPr>
        <w:ind w:left="1647" w:hanging="360"/>
      </w:pPr>
      <w:rPr>
        <w:b w:val="0"/>
        <w:bCs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4"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5"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6"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0"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F0238BD"/>
    <w:multiLevelType w:val="hybridMultilevel"/>
    <w:tmpl w:val="756409D8"/>
    <w:lvl w:ilvl="0" w:tplc="08646356">
      <w:start w:val="1"/>
      <w:numFmt w:val="lowerLetter"/>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2"/>
  </w:num>
  <w:num w:numId="7">
    <w:abstractNumId w:val="18"/>
  </w:num>
  <w:num w:numId="8">
    <w:abstractNumId w:val="10"/>
  </w:num>
  <w:num w:numId="9">
    <w:abstractNumId w:val="8"/>
  </w:num>
  <w:num w:numId="10">
    <w:abstractNumId w:val="15"/>
  </w:num>
  <w:num w:numId="11">
    <w:abstractNumId w:val="21"/>
  </w:num>
  <w:num w:numId="12">
    <w:abstractNumId w:val="24"/>
  </w:num>
  <w:num w:numId="13">
    <w:abstractNumId w:val="13"/>
  </w:num>
  <w:num w:numId="14">
    <w:abstractNumId w:val="4"/>
  </w:num>
  <w:num w:numId="15">
    <w:abstractNumId w:val="19"/>
  </w:num>
  <w:num w:numId="16">
    <w:abstractNumId w:val="2"/>
  </w:num>
  <w:num w:numId="17">
    <w:abstractNumId w:val="30"/>
  </w:num>
  <w:num w:numId="18">
    <w:abstractNumId w:val="14"/>
  </w:num>
  <w:num w:numId="19">
    <w:abstractNumId w:val="23"/>
  </w:num>
  <w:num w:numId="20">
    <w:abstractNumId w:val="16"/>
  </w:num>
  <w:num w:numId="21">
    <w:abstractNumId w:val="31"/>
  </w:num>
  <w:num w:numId="22">
    <w:abstractNumId w:val="9"/>
  </w:num>
  <w:num w:numId="23">
    <w:abstractNumId w:val="12"/>
  </w:num>
  <w:num w:numId="24">
    <w:abstractNumId w:val="2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 w:ilvl="0" w:tplc="67825808">
        <w:start w:val="1"/>
        <w:numFmt w:val="lowerLetter"/>
        <w:lvlText w:val="%1)"/>
        <w:lvlJc w:val="right"/>
        <w:pPr>
          <w:ind w:left="1211" w:hanging="360"/>
        </w:pPr>
        <w:rPr>
          <w:rFonts w:hint="default"/>
          <w:b w:val="0"/>
        </w:rPr>
      </w:lvl>
    </w:lvlOverride>
  </w:num>
  <w:num w:numId="27">
    <w:abstractNumId w:val="25"/>
  </w:num>
  <w:num w:numId="28">
    <w:abstractNumId w:val="17"/>
  </w:num>
  <w:num w:numId="29">
    <w:abstractNumId w:val="6"/>
  </w:num>
  <w:num w:numId="30">
    <w:abstractNumId w:val="5"/>
  </w:num>
  <w:num w:numId="31">
    <w:abstractNumId w:val="27"/>
  </w:num>
  <w:num w:numId="32">
    <w:abstractNumId w:val="11"/>
  </w:num>
  <w:num w:numId="33">
    <w:abstractNumId w:val="32"/>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0BB1"/>
    <w:rsid w:val="00016D78"/>
    <w:rsid w:val="00016D8D"/>
    <w:rsid w:val="000268AF"/>
    <w:rsid w:val="00031F33"/>
    <w:rsid w:val="0003470B"/>
    <w:rsid w:val="00043361"/>
    <w:rsid w:val="0004611D"/>
    <w:rsid w:val="00056013"/>
    <w:rsid w:val="0006506A"/>
    <w:rsid w:val="00065CC9"/>
    <w:rsid w:val="000764A8"/>
    <w:rsid w:val="000A6ADA"/>
    <w:rsid w:val="000B1AD4"/>
    <w:rsid w:val="000B36D5"/>
    <w:rsid w:val="000B4864"/>
    <w:rsid w:val="000E581C"/>
    <w:rsid w:val="000F7F10"/>
    <w:rsid w:val="00103697"/>
    <w:rsid w:val="0010556B"/>
    <w:rsid w:val="0010732B"/>
    <w:rsid w:val="001122E4"/>
    <w:rsid w:val="001158E4"/>
    <w:rsid w:val="001202AF"/>
    <w:rsid w:val="00122336"/>
    <w:rsid w:val="001239AD"/>
    <w:rsid w:val="001459E8"/>
    <w:rsid w:val="00146D0B"/>
    <w:rsid w:val="00152553"/>
    <w:rsid w:val="00164A22"/>
    <w:rsid w:val="00167C91"/>
    <w:rsid w:val="001753F0"/>
    <w:rsid w:val="00192717"/>
    <w:rsid w:val="00194B74"/>
    <w:rsid w:val="001A30B9"/>
    <w:rsid w:val="001A3D23"/>
    <w:rsid w:val="001C277E"/>
    <w:rsid w:val="001D09ED"/>
    <w:rsid w:val="001D0EFF"/>
    <w:rsid w:val="001E6E7D"/>
    <w:rsid w:val="001E77B5"/>
    <w:rsid w:val="00201606"/>
    <w:rsid w:val="002022E1"/>
    <w:rsid w:val="00220D50"/>
    <w:rsid w:val="002434DC"/>
    <w:rsid w:val="002447B3"/>
    <w:rsid w:val="00245769"/>
    <w:rsid w:val="00251181"/>
    <w:rsid w:val="002616C8"/>
    <w:rsid w:val="00262DD5"/>
    <w:rsid w:val="0026538C"/>
    <w:rsid w:val="00271E2B"/>
    <w:rsid w:val="00281817"/>
    <w:rsid w:val="002C11B2"/>
    <w:rsid w:val="002C2263"/>
    <w:rsid w:val="002D42B1"/>
    <w:rsid w:val="002F41DB"/>
    <w:rsid w:val="00306562"/>
    <w:rsid w:val="003105D0"/>
    <w:rsid w:val="00317F35"/>
    <w:rsid w:val="00326D6C"/>
    <w:rsid w:val="0033108A"/>
    <w:rsid w:val="00331F10"/>
    <w:rsid w:val="003436D7"/>
    <w:rsid w:val="00357C64"/>
    <w:rsid w:val="00361FFD"/>
    <w:rsid w:val="00393AB6"/>
    <w:rsid w:val="003A1547"/>
    <w:rsid w:val="003A552B"/>
    <w:rsid w:val="003B25AD"/>
    <w:rsid w:val="003C06BA"/>
    <w:rsid w:val="003C2FAB"/>
    <w:rsid w:val="003D0FBF"/>
    <w:rsid w:val="003D4309"/>
    <w:rsid w:val="003D7B82"/>
    <w:rsid w:val="003F71BF"/>
    <w:rsid w:val="00415863"/>
    <w:rsid w:val="004242AB"/>
    <w:rsid w:val="00431879"/>
    <w:rsid w:val="004369BE"/>
    <w:rsid w:val="00440524"/>
    <w:rsid w:val="00444400"/>
    <w:rsid w:val="004459F0"/>
    <w:rsid w:val="00446980"/>
    <w:rsid w:val="00447BCB"/>
    <w:rsid w:val="00454005"/>
    <w:rsid w:val="00460A1B"/>
    <w:rsid w:val="00466AD3"/>
    <w:rsid w:val="00474EDE"/>
    <w:rsid w:val="0048260D"/>
    <w:rsid w:val="00496ACF"/>
    <w:rsid w:val="004971C9"/>
    <w:rsid w:val="004A5F9A"/>
    <w:rsid w:val="004A6C95"/>
    <w:rsid w:val="004B4AD6"/>
    <w:rsid w:val="004B712D"/>
    <w:rsid w:val="004B79A0"/>
    <w:rsid w:val="004C5BDB"/>
    <w:rsid w:val="004D71AD"/>
    <w:rsid w:val="004E3E1A"/>
    <w:rsid w:val="004F1FC1"/>
    <w:rsid w:val="00511CB0"/>
    <w:rsid w:val="00521F56"/>
    <w:rsid w:val="00526AE4"/>
    <w:rsid w:val="00546562"/>
    <w:rsid w:val="00554551"/>
    <w:rsid w:val="00564CEE"/>
    <w:rsid w:val="00575CB9"/>
    <w:rsid w:val="00597BA7"/>
    <w:rsid w:val="005B1CD0"/>
    <w:rsid w:val="005C4213"/>
    <w:rsid w:val="005C4474"/>
    <w:rsid w:val="005C748D"/>
    <w:rsid w:val="005E63C8"/>
    <w:rsid w:val="005F3E1D"/>
    <w:rsid w:val="005F3FCC"/>
    <w:rsid w:val="005F4C65"/>
    <w:rsid w:val="005F6036"/>
    <w:rsid w:val="00601320"/>
    <w:rsid w:val="00610954"/>
    <w:rsid w:val="00611163"/>
    <w:rsid w:val="00615D3F"/>
    <w:rsid w:val="00617F77"/>
    <w:rsid w:val="00622093"/>
    <w:rsid w:val="0063313C"/>
    <w:rsid w:val="006332B0"/>
    <w:rsid w:val="006429ED"/>
    <w:rsid w:val="006431FE"/>
    <w:rsid w:val="00662762"/>
    <w:rsid w:val="0066557E"/>
    <w:rsid w:val="00685870"/>
    <w:rsid w:val="00685A53"/>
    <w:rsid w:val="00692F9A"/>
    <w:rsid w:val="00695729"/>
    <w:rsid w:val="006B070C"/>
    <w:rsid w:val="006B36D0"/>
    <w:rsid w:val="006C4903"/>
    <w:rsid w:val="006C4B38"/>
    <w:rsid w:val="006C7B5E"/>
    <w:rsid w:val="006E061D"/>
    <w:rsid w:val="006F0F11"/>
    <w:rsid w:val="006F4695"/>
    <w:rsid w:val="007061AE"/>
    <w:rsid w:val="0072234D"/>
    <w:rsid w:val="0074140D"/>
    <w:rsid w:val="0074508A"/>
    <w:rsid w:val="00746230"/>
    <w:rsid w:val="00755E79"/>
    <w:rsid w:val="00756D20"/>
    <w:rsid w:val="007756EF"/>
    <w:rsid w:val="007868F2"/>
    <w:rsid w:val="007A3CB7"/>
    <w:rsid w:val="007C0316"/>
    <w:rsid w:val="007D3B56"/>
    <w:rsid w:val="007D3DBA"/>
    <w:rsid w:val="007E0F0B"/>
    <w:rsid w:val="007E4805"/>
    <w:rsid w:val="0082011E"/>
    <w:rsid w:val="00846920"/>
    <w:rsid w:val="0085039C"/>
    <w:rsid w:val="008608C0"/>
    <w:rsid w:val="00864F13"/>
    <w:rsid w:val="00872971"/>
    <w:rsid w:val="00882EF8"/>
    <w:rsid w:val="008900F5"/>
    <w:rsid w:val="0089102F"/>
    <w:rsid w:val="00891D1B"/>
    <w:rsid w:val="008A201E"/>
    <w:rsid w:val="008A4A4B"/>
    <w:rsid w:val="008B4AD7"/>
    <w:rsid w:val="008B789E"/>
    <w:rsid w:val="008C33B1"/>
    <w:rsid w:val="008E7FA8"/>
    <w:rsid w:val="008F4E2A"/>
    <w:rsid w:val="008F62AA"/>
    <w:rsid w:val="0090447C"/>
    <w:rsid w:val="00907E85"/>
    <w:rsid w:val="00922246"/>
    <w:rsid w:val="00926CDE"/>
    <w:rsid w:val="009355DC"/>
    <w:rsid w:val="0095076C"/>
    <w:rsid w:val="009563E2"/>
    <w:rsid w:val="0095747F"/>
    <w:rsid w:val="0095792E"/>
    <w:rsid w:val="00967C41"/>
    <w:rsid w:val="009836D6"/>
    <w:rsid w:val="009A2D4C"/>
    <w:rsid w:val="009B668D"/>
    <w:rsid w:val="009C48E6"/>
    <w:rsid w:val="009D0C93"/>
    <w:rsid w:val="009D2595"/>
    <w:rsid w:val="009D2B4F"/>
    <w:rsid w:val="009F7DB4"/>
    <w:rsid w:val="00A0267F"/>
    <w:rsid w:val="00A12E6F"/>
    <w:rsid w:val="00A222B9"/>
    <w:rsid w:val="00A326B9"/>
    <w:rsid w:val="00A41736"/>
    <w:rsid w:val="00A50650"/>
    <w:rsid w:val="00A5434A"/>
    <w:rsid w:val="00A57BAB"/>
    <w:rsid w:val="00A62875"/>
    <w:rsid w:val="00A669F6"/>
    <w:rsid w:val="00A830AD"/>
    <w:rsid w:val="00A952DB"/>
    <w:rsid w:val="00A9679F"/>
    <w:rsid w:val="00A9690A"/>
    <w:rsid w:val="00A97631"/>
    <w:rsid w:val="00A979F4"/>
    <w:rsid w:val="00AA12AA"/>
    <w:rsid w:val="00AA4391"/>
    <w:rsid w:val="00AC10A0"/>
    <w:rsid w:val="00AD36CB"/>
    <w:rsid w:val="00AF7659"/>
    <w:rsid w:val="00B0551F"/>
    <w:rsid w:val="00B12CA6"/>
    <w:rsid w:val="00B16CD2"/>
    <w:rsid w:val="00B2472C"/>
    <w:rsid w:val="00B31454"/>
    <w:rsid w:val="00B35618"/>
    <w:rsid w:val="00B51DED"/>
    <w:rsid w:val="00B73222"/>
    <w:rsid w:val="00B745A6"/>
    <w:rsid w:val="00B74646"/>
    <w:rsid w:val="00B817EC"/>
    <w:rsid w:val="00B96681"/>
    <w:rsid w:val="00BA2000"/>
    <w:rsid w:val="00BB50B0"/>
    <w:rsid w:val="00BC3716"/>
    <w:rsid w:val="00BD2CDC"/>
    <w:rsid w:val="00BD4C0D"/>
    <w:rsid w:val="00BE323F"/>
    <w:rsid w:val="00BE36E8"/>
    <w:rsid w:val="00C06EDD"/>
    <w:rsid w:val="00C11027"/>
    <w:rsid w:val="00C11251"/>
    <w:rsid w:val="00C207C4"/>
    <w:rsid w:val="00C23B0D"/>
    <w:rsid w:val="00C31BC6"/>
    <w:rsid w:val="00C37143"/>
    <w:rsid w:val="00C4668A"/>
    <w:rsid w:val="00C477F5"/>
    <w:rsid w:val="00C52434"/>
    <w:rsid w:val="00C530A6"/>
    <w:rsid w:val="00C674A0"/>
    <w:rsid w:val="00C82A96"/>
    <w:rsid w:val="00C85089"/>
    <w:rsid w:val="00C90423"/>
    <w:rsid w:val="00CB607B"/>
    <w:rsid w:val="00CC2270"/>
    <w:rsid w:val="00CC2A8A"/>
    <w:rsid w:val="00CC7B0F"/>
    <w:rsid w:val="00CE073F"/>
    <w:rsid w:val="00CE3FAE"/>
    <w:rsid w:val="00CE5C09"/>
    <w:rsid w:val="00CF5831"/>
    <w:rsid w:val="00CF7AB9"/>
    <w:rsid w:val="00D24EEE"/>
    <w:rsid w:val="00D27296"/>
    <w:rsid w:val="00D453F0"/>
    <w:rsid w:val="00D50594"/>
    <w:rsid w:val="00D54164"/>
    <w:rsid w:val="00D544E6"/>
    <w:rsid w:val="00D64D4B"/>
    <w:rsid w:val="00D66805"/>
    <w:rsid w:val="00D668EE"/>
    <w:rsid w:val="00D707FB"/>
    <w:rsid w:val="00D733A1"/>
    <w:rsid w:val="00D770FA"/>
    <w:rsid w:val="00D84551"/>
    <w:rsid w:val="00D962D1"/>
    <w:rsid w:val="00D97CD5"/>
    <w:rsid w:val="00DA6F8D"/>
    <w:rsid w:val="00DB0FF9"/>
    <w:rsid w:val="00DC42DC"/>
    <w:rsid w:val="00DD7F18"/>
    <w:rsid w:val="00DE11F2"/>
    <w:rsid w:val="00E05D71"/>
    <w:rsid w:val="00E105B3"/>
    <w:rsid w:val="00E325F6"/>
    <w:rsid w:val="00E37181"/>
    <w:rsid w:val="00E52623"/>
    <w:rsid w:val="00E57265"/>
    <w:rsid w:val="00E648F7"/>
    <w:rsid w:val="00E64D15"/>
    <w:rsid w:val="00E711EC"/>
    <w:rsid w:val="00EB2363"/>
    <w:rsid w:val="00EB423A"/>
    <w:rsid w:val="00ED595F"/>
    <w:rsid w:val="00EE18D2"/>
    <w:rsid w:val="00EE1A5F"/>
    <w:rsid w:val="00EE208C"/>
    <w:rsid w:val="00EF1B0E"/>
    <w:rsid w:val="00EF2281"/>
    <w:rsid w:val="00EF4254"/>
    <w:rsid w:val="00F111FC"/>
    <w:rsid w:val="00F114C2"/>
    <w:rsid w:val="00F26E0E"/>
    <w:rsid w:val="00F410B1"/>
    <w:rsid w:val="00F55821"/>
    <w:rsid w:val="00F70234"/>
    <w:rsid w:val="00F97121"/>
    <w:rsid w:val="00FA070F"/>
    <w:rsid w:val="00FA0A70"/>
    <w:rsid w:val="00FA7D6B"/>
    <w:rsid w:val="00FC0C4E"/>
    <w:rsid w:val="00FD1DBC"/>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35"/>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715423320">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274244795">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0258/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zakaziek/detail/541920"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6257</Words>
  <Characters>35665</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GLUŠTÍKOVÁ Nikola</cp:lastModifiedBy>
  <cp:revision>10</cp:revision>
  <cp:lastPrinted>2025-09-01T13:10:00Z</cp:lastPrinted>
  <dcterms:created xsi:type="dcterms:W3CDTF">2025-08-28T12:47:00Z</dcterms:created>
  <dcterms:modified xsi:type="dcterms:W3CDTF">2025-09-02T10:41:00Z</dcterms:modified>
</cp:coreProperties>
</file>