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ind w:left="118" w:firstLine="0"/>
        <w:jc w:val="center"/>
        <w:rPr>
          <w:rFonts w:ascii="Calibri Light" w:hAnsi="Calibri Light"/>
          <w:b w:val="false"/>
          <w:bCs w:val="false"/>
          <w:color w:val="2f5496"/>
          <w:sz w:val="32"/>
          <w:szCs w:val="32"/>
          <w:highlight w:val="none"/>
          <w:lang w:bidi="ar-SA" w:eastAsia="en-US"/>
        </w:rPr>
      </w:pPr>
      <w:r>
        <w:rPr>
          <w:rFonts w:ascii="Calibri Light" w:hAnsi="Calibri Light"/>
          <w:b w:val="false"/>
          <w:bCs w:val="false"/>
          <w:color w:val="2f5496"/>
          <w:sz w:val="32"/>
          <w:szCs w:val="32"/>
          <w:highlight w:val="none"/>
          <w:lang w:bidi="ar-SA" w:eastAsia="en-US"/>
        </w:rPr>
        <w:t>Príloha č. 1 - Žiadosť o zaradenie do dynamického nákupného systému</w:t>
      </w:r>
    </w:p>
    <w:p>
      <w:pPr>
        <w:pStyle w:val="style0"/>
        <w:rPr>
          <w:rFonts w:ascii="Times New Roman" w:cs="Times New Roman" w:hAnsi="Times New Roman"/>
          <w:b/>
          <w:highlight w:val="none"/>
          <w:u w:val="single"/>
        </w:rPr>
      </w:pPr>
    </w:p>
    <w:p>
      <w:pPr>
        <w:pStyle w:val="style0"/>
        <w:jc w:val="both"/>
        <w:rPr>
          <w:rFonts w:ascii="Garamond" w:cs="Times New Roman" w:hAnsi="Garamond"/>
          <w:b/>
          <w:sz w:val="24"/>
          <w:szCs w:val="24"/>
          <w:highlight w:val="none"/>
          <w:u w:val="single"/>
        </w:rPr>
      </w:pPr>
      <w:r>
        <w:rPr>
          <w:rFonts w:ascii="Garamond" w:cs="Times New Roman" w:hAnsi="Garamond"/>
          <w:b/>
          <w:sz w:val="24"/>
          <w:szCs w:val="24"/>
          <w:highlight w:val="none"/>
          <w:u w:val="single"/>
        </w:rPr>
        <w:t>Záujemca: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Obchodný názov: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Sídlo záujemcu: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IČO: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DIČ: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IČ DPH: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Štatutárny zástupca/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Splnomocnená osoba: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Kontaktná osoba: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>Tel/mobil: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  <w:tr>
        <w:tblPrEx/>
        <w:trPr/>
        <w:tc>
          <w:tcPr>
            <w:tcW w:w="2263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highlight w:val="none"/>
              </w:rPr>
              <w:t xml:space="preserve">Email:  </w:t>
            </w:r>
          </w:p>
        </w:tc>
        <w:tc>
          <w:tcPr>
            <w:tcW w:w="6799" w:type="dxa"/>
            <w:tcBorders/>
          </w:tcPr>
          <w:p>
            <w:pPr>
              <w:pStyle w:val="style0"/>
              <w:jc w:val="both"/>
              <w:rPr>
                <w:rFonts w:ascii="Garamond" w:hAnsi="Garamond"/>
                <w:b/>
                <w:sz w:val="24"/>
                <w:szCs w:val="24"/>
                <w:highlight w:val="none"/>
                <w:u w:val="single"/>
              </w:rPr>
            </w:pPr>
          </w:p>
        </w:tc>
      </w:tr>
    </w:tbl>
    <w:p>
      <w:pPr>
        <w:pStyle w:val="style0"/>
        <w:spacing w:before="16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 xml:space="preserve">Týmto žiadam o zaradenie do dynamického nákupného systému s názvom: </w:t>
      </w:r>
    </w:p>
    <w:p>
      <w:pPr>
        <w:pStyle w:val="style0"/>
        <w:spacing w:before="16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center"/>
        <w:rPr>
          <w:rFonts w:ascii="Garamond" w:cs="Times New Roman" w:hAnsi="Garamond"/>
          <w:b/>
          <w:sz w:val="24"/>
          <w:szCs w:val="24"/>
          <w:highlight w:val="none"/>
        </w:rPr>
      </w:pPr>
      <w:r>
        <w:rPr>
          <w:rFonts w:ascii="Garamond" w:hAnsi="Garamond"/>
          <w:b/>
          <w:sz w:val="24"/>
          <w:szCs w:val="24"/>
          <w:highlight w:val="none"/>
        </w:rPr>
        <w:t>„Zabezpečenie centrálneho nákupu kancelárskeho materiálupre Hlavné mesto</w:t>
      </w:r>
      <w:r>
        <w:rPr>
          <w:rFonts w:ascii="Garamond" w:hAnsi="Garamond"/>
          <w:b/>
          <w:sz w:val="24"/>
          <w:szCs w:val="24"/>
          <w:highlight w:val="none"/>
        </w:rPr>
        <w:t xml:space="preserve"> </w:t>
      </w:r>
      <w:r>
        <w:rPr>
          <w:rFonts w:ascii="Garamond" w:hAnsi="Garamond"/>
          <w:b/>
          <w:sz w:val="24"/>
          <w:szCs w:val="24"/>
          <w:highlight w:val="none"/>
        </w:rPr>
        <w:t>SR</w:t>
      </w:r>
      <w:r>
        <w:rPr>
          <w:rFonts w:ascii="Garamond" w:hAnsi="Garamond"/>
          <w:b/>
          <w:sz w:val="24"/>
          <w:szCs w:val="24"/>
          <w:highlight w:val="none"/>
        </w:rPr>
        <w:t xml:space="preserve"> Bratislava </w:t>
      </w:r>
      <w:r>
        <w:rPr>
          <w:rFonts w:ascii="Garamond" w:hAnsi="Garamond"/>
          <w:b/>
          <w:sz w:val="24"/>
          <w:szCs w:val="24"/>
          <w:highlight w:val="none"/>
        </w:rPr>
        <w:t xml:space="preserve">a ďalšie </w:t>
      </w:r>
      <w:r>
        <w:rPr>
          <w:rFonts w:ascii="Garamond" w:hAnsi="Garamond"/>
          <w:b/>
          <w:sz w:val="24"/>
          <w:szCs w:val="24"/>
          <w:highlight w:val="none"/>
        </w:rPr>
        <w:t xml:space="preserve"> subjekty “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 xml:space="preserve">Zároveň 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vyhlasujem</w:t>
      </w:r>
      <w:r>
        <w:rPr>
          <w:rFonts w:ascii="Garamond" w:cs="Times New Roman" w:hAnsi="Garamond"/>
          <w:sz w:val="24"/>
          <w:szCs w:val="24"/>
          <w:highlight w:val="none"/>
        </w:rPr>
        <w:t>, že</w:t>
      </w:r>
    </w:p>
    <w:p>
      <w:pPr>
        <w:pStyle w:val="style179"/>
        <w:numPr>
          <w:ilvl w:val="0"/>
          <w:numId w:val="1"/>
        </w:numPr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súhlasím s podmienkami tohto dynamického nákupného systému, ktoré sú určené v súťažných podkladoch a v iných dokumentoch poskytnutých verejným obstarávateľom;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som dôkladne oboznámený s celým obsahom súťažných podkladov vrátane všetkých príloh a dokumentov, na ktoré sa dynamický nákupný systém odvoláva;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všetky doklady, dokumenty, vyhlásenia a údaje uvedené v žiadosti sú pravdivé a úplné;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predkladám iba jednu žiadosť a nie som členom skupiny dodávateľov, ktorá ako iný uchádzač predkladá žiadosť</w:t>
      </w:r>
      <w:r>
        <w:rPr>
          <w:rStyle w:val="style38"/>
          <w:rFonts w:ascii="Garamond" w:hAnsi="Garamond"/>
          <w:sz w:val="24"/>
          <w:szCs w:val="24"/>
          <w:highlight w:val="none"/>
        </w:rPr>
        <w:footnoteReference w:id="1"/>
      </w:r>
      <w:r>
        <w:rPr>
          <w:rFonts w:ascii="Garamond" w:cs="Times New Roman" w:hAnsi="Garamond"/>
          <w:sz w:val="24"/>
          <w:szCs w:val="24"/>
          <w:highlight w:val="none"/>
        </w:rPr>
        <w:t>;</w:t>
      </w:r>
    </w:p>
    <w:p>
      <w:pPr>
        <w:pStyle w:val="style0"/>
        <w:numPr>
          <w:ilvl w:val="0"/>
          <w:numId w:val="0"/>
        </w:numPr>
        <w:ind w:left="0" w:firstLine="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b/>
          <w:bCs/>
          <w:sz w:val="24"/>
          <w:szCs w:val="24"/>
          <w:highlight w:val="none"/>
        </w:rPr>
        <w:t>Súhlas so skrátením lehoty na predkladanie ponúk</w:t>
      </w:r>
      <w:r>
        <w:rPr>
          <w:rFonts w:ascii="Garamond" w:cs="Times New Roman" w:hAnsi="Garamond"/>
          <w:sz w:val="24"/>
          <w:szCs w:val="24"/>
          <w:highlight w:val="none"/>
        </w:rPr>
        <w:t>: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erejný obstarávateľ </w:t>
      </w:r>
      <w:r>
        <w:rPr>
          <w:rFonts w:ascii="Garamond" w:cs="Times New Roman" w:hAnsi="Garamond"/>
          <w:sz w:val="24"/>
          <w:szCs w:val="24"/>
          <w:highlight w:val="none"/>
        </w:rPr>
        <w:t>plánuje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 v čiastkových zákazkách stanoviť lehotu na predkladanie ponúk 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min </w:t>
      </w:r>
      <w:r>
        <w:rPr>
          <w:rFonts w:ascii="Garamond" w:cs="Times New Roman" w:hAnsi="Garamond"/>
          <w:sz w:val="24"/>
          <w:szCs w:val="24"/>
          <w:highlight w:val="none"/>
        </w:rPr>
        <w:t>10 pracovných dní</w:t>
      </w:r>
      <w:r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Zákon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 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umožňuje túto lehotu skrátiť na 5 pracovných dní, ale len </w:t>
      </w:r>
      <w:r>
        <w:rPr>
          <w:rFonts w:ascii="Garamond" w:cs="Times New Roman" w:hAnsi="Garamond"/>
          <w:sz w:val="24"/>
          <w:szCs w:val="24"/>
          <w:highlight w:val="none"/>
        </w:rPr>
        <w:t>v</w:t>
      </w:r>
      <w:r>
        <w:rPr>
          <w:rFonts w:ascii="Garamond" w:cs="Times New Roman" w:hAnsi="Garamond"/>
          <w:sz w:val="24"/>
          <w:szCs w:val="24"/>
          <w:highlight w:val="none"/>
        </w:rPr>
        <w:t> </w:t>
      </w:r>
      <w:r>
        <w:rPr>
          <w:rFonts w:ascii="Garamond" w:cs="Times New Roman" w:hAnsi="Garamond"/>
          <w:sz w:val="24"/>
          <w:szCs w:val="24"/>
          <w:highlight w:val="none"/>
        </w:rPr>
        <w:t>prípade</w:t>
      </w:r>
      <w:r>
        <w:rPr>
          <w:rFonts w:ascii="Garamond" w:cs="Times New Roman" w:hAnsi="Garamond"/>
          <w:sz w:val="24"/>
          <w:szCs w:val="24"/>
          <w:highlight w:val="none"/>
        </w:rPr>
        <w:t>, ak s tým budú súhlasiť všet</w:t>
      </w:r>
      <w:r>
        <w:rPr>
          <w:rFonts w:ascii="Garamond" w:cs="Times New Roman" w:hAnsi="Garamond"/>
          <w:sz w:val="24"/>
          <w:szCs w:val="24"/>
          <w:highlight w:val="none"/>
        </w:rPr>
        <w:t>ci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 zaraden</w:t>
      </w:r>
      <w:r>
        <w:rPr>
          <w:rFonts w:ascii="Garamond" w:cs="Times New Roman" w:hAnsi="Garamond"/>
          <w:sz w:val="24"/>
          <w:szCs w:val="24"/>
          <w:highlight w:val="none"/>
        </w:rPr>
        <w:t>í záujemcovia</w:t>
      </w:r>
      <w:r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erejný obstarávateľ uvažuje so skrátením lehoty na 5 pracovných dní napr. v prípade jednoduchších zákaziek s nižším počtom položiek, kde túto lehotu vyhodnotí ako dostatočnú, </w:t>
      </w:r>
    </w:p>
    <w:p>
      <w:pPr>
        <w:pStyle w:val="style179"/>
        <w:numPr>
          <w:ilvl w:val="0"/>
          <w:numId w:val="1"/>
        </w:numPr>
        <w:tabs>
          <w:tab w:val="center" w:leader="none" w:pos="6521"/>
        </w:tabs>
        <w:spacing w:after="120" w:lineRule="auto" w:line="240"/>
        <w:jc w:val="both"/>
        <w:contextualSpacing w:val="false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 xml:space="preserve">Preto by sme Vás chceli požiadať o vyjadrenie, či súhlasíte 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so skrátením lehoty na predkladanie ponúk 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na minimálne 5 pracovných dní</w:t>
      </w:r>
      <w:r>
        <w:rPr>
          <w:rFonts w:ascii="Garamond" w:cs="Times New Roman" w:hAnsi="Garamond"/>
          <w:sz w:val="24"/>
          <w:szCs w:val="24"/>
          <w:highlight w:val="none"/>
        </w:rPr>
        <w:t>.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V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 súlade s ustanovením </w:t>
      </w:r>
      <w:r>
        <w:rPr>
          <w:rFonts w:ascii="Garamond" w:cs="Times New Roman" w:hAnsi="Garamond"/>
          <w:sz w:val="24"/>
          <w:szCs w:val="24"/>
          <w:highlight w:val="none"/>
        </w:rPr>
        <w:fldChar w:fldCharType="begin"/>
      </w:r>
      <w:r>
        <w:rPr>
          <w:rFonts w:ascii="Garamond" w:cs="Times New Roman" w:hAnsi="Garamond"/>
          <w:sz w:val="24"/>
          <w:szCs w:val="24"/>
          <w:highlight w:val="none"/>
        </w:rPr>
        <w:instrText>HYPERLINK "https://www.slov-lex.sk/ezbierky/pravne-predpisy/SK/ZZ/2015/343/20250201.html" \l "paragraf-61.odsek-4"</w:instrText>
      </w:r>
      <w:r>
        <w:rPr>
          <w:rFonts w:ascii="Garamond" w:cs="Times New Roman" w:hAnsi="Garamond"/>
          <w:sz w:val="24"/>
          <w:szCs w:val="24"/>
          <w:highlight w:val="none"/>
        </w:rPr>
        <w:fldChar w:fldCharType="separate"/>
      </w:r>
      <w:r>
        <w:rPr>
          <w:rStyle w:val="style85"/>
          <w:rFonts w:ascii="Garamond" w:cs="Times New Roman" w:hAnsi="Garamond"/>
          <w:sz w:val="24"/>
          <w:szCs w:val="24"/>
          <w:highlight w:val="none"/>
        </w:rPr>
        <w:t xml:space="preserve">§ 61 ods. 4 </w:t>
      </w:r>
      <w:r>
        <w:rPr>
          <w:rFonts w:ascii="Garamond" w:cs="Times New Roman" w:hAnsi="Garamond"/>
          <w:sz w:val="24"/>
          <w:szCs w:val="24"/>
          <w:highlight w:val="none"/>
        </w:rPr>
        <w:fldChar w:fldCharType="end"/>
      </w:r>
      <w:r>
        <w:rPr>
          <w:rFonts w:ascii="Garamond" w:cs="Times New Roman" w:hAnsi="Garamond"/>
          <w:sz w:val="24"/>
          <w:szCs w:val="24"/>
          <w:highlight w:val="none"/>
        </w:rPr>
        <w:t xml:space="preserve"> ZVO</w:t>
      </w:r>
    </w:p>
    <w:p>
      <w:pPr>
        <w:pStyle w:val="style0"/>
        <w:tabs>
          <w:tab w:val="center" w:leader="none" w:pos="6521"/>
        </w:tabs>
        <w:spacing w:after="120" w:lineRule="auto" w:line="240"/>
        <w:jc w:val="center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b/>
          <w:bCs/>
          <w:color w:val="1f497d"/>
          <w:sz w:val="24"/>
          <w:szCs w:val="24"/>
          <w:highlight w:val="none"/>
        </w:rPr>
        <w:t>súhlasím</w:t>
      </w:r>
    </w:p>
    <w:p>
      <w:pPr>
        <w:pStyle w:val="style0"/>
        <w:tabs>
          <w:tab w:val="center" w:leader="none" w:pos="6521"/>
        </w:tabs>
        <w:spacing w:after="12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</w:t>
      </w:r>
      <w:r>
        <w:rPr>
          <w:rFonts w:ascii="Garamond" w:cs="Times New Roman" w:hAnsi="Garamond"/>
          <w:sz w:val="24"/>
          <w:szCs w:val="24"/>
          <w:highlight w:val="none"/>
        </w:rPr>
        <w:t xml:space="preserve">o skrátením lehoty na predkladanie ponúk 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na minimálne 5 pracovných dní</w:t>
      </w:r>
      <w:r>
        <w:rPr>
          <w:rFonts w:ascii="Garamond" w:cs="Times New Roman" w:hAnsi="Garamond"/>
          <w:b/>
          <w:bCs/>
          <w:sz w:val="24"/>
          <w:szCs w:val="24"/>
          <w:highlight w:val="none"/>
        </w:rPr>
        <w:t>.</w:t>
      </w:r>
    </w:p>
    <w:p>
      <w:pPr>
        <w:pStyle w:val="style0"/>
        <w:rPr>
          <w:rFonts w:ascii="Garamond" w:cs="Times New Roman" w:hAnsi="Garamond"/>
          <w:b/>
          <w:bCs/>
          <w:sz w:val="24"/>
          <w:szCs w:val="24"/>
          <w:highlight w:val="non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</w:r>
      <w:r>
        <w:rPr>
          <w:rFonts w:ascii="Garamond" w:cs="Times New Roman" w:hAnsi="Garamond"/>
          <w:sz w:val="24"/>
          <w:szCs w:val="24"/>
          <w:highlight w:val="none"/>
        </w:rPr>
        <w:t>_____________________________________</w:t>
      </w: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</w:r>
      <w:r>
        <w:rPr>
          <w:rFonts w:ascii="Garamond" w:cs="Times New Roman" w:hAnsi="Garamond"/>
          <w:sz w:val="24"/>
          <w:szCs w:val="24"/>
          <w:highlight w:val="none"/>
        </w:rPr>
        <w:t>štatutárny zástupca uchádzača/</w:t>
      </w:r>
    </w:p>
    <w:p>
      <w:pPr>
        <w:pStyle w:val="style0"/>
        <w:tabs>
          <w:tab w:val="center" w:leader="none" w:pos="6521"/>
        </w:tabs>
        <w:spacing w:after="0" w:lineRule="auto" w:line="240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ab/>
      </w:r>
      <w:r>
        <w:rPr>
          <w:rFonts w:ascii="Garamond" w:cs="Times New Roman" w:hAnsi="Garamond"/>
          <w:sz w:val="24"/>
          <w:szCs w:val="24"/>
          <w:highlight w:val="none"/>
        </w:rPr>
        <w:t>osoba splnomocnená štatutárnym zástupcom</w:t>
      </w:r>
    </w:p>
    <w:p>
      <w:pPr>
        <w:pStyle w:val="style0"/>
        <w:rPr>
          <w:rFonts w:ascii="Times New Roman" w:cs="Times New Roman" w:hAnsi="Times New Roman"/>
          <w:highlight w:val="none"/>
        </w:rPr>
      </w:pPr>
    </w:p>
    <w:p>
      <w:pPr>
        <w:pStyle w:val="style0"/>
        <w:rPr>
          <w:rFonts w:ascii="Times New Roman" w:cs="Times New Roman" w:hAnsi="Times New Roman"/>
          <w:highlight w:val="non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</w:p>
    <w:p>
      <w:pPr>
        <w:pStyle w:val="style0"/>
        <w:jc w:val="both"/>
        <w:rPr>
          <w:rFonts w:ascii="Garamond" w:cs="Times New Roman" w:hAnsi="Garamond"/>
          <w:sz w:val="24"/>
          <w:szCs w:val="24"/>
          <w:highlight w:val="none"/>
          <w:u w:val="single"/>
        </w:rPr>
      </w:pPr>
      <w:r>
        <w:rPr>
          <w:rFonts w:ascii="Garamond" w:cs="Times New Roman" w:hAnsi="Garamond"/>
          <w:sz w:val="24"/>
          <w:szCs w:val="24"/>
          <w:highlight w:val="none"/>
          <w:u w:val="single"/>
        </w:rPr>
        <w:t xml:space="preserve">Zoznam príloh: </w:t>
      </w:r>
      <w:r>
        <w:rPr>
          <w:rFonts w:ascii="Garamond" w:cs="Times New Roman" w:hAnsi="Garamond"/>
          <w:i/>
          <w:sz w:val="24"/>
          <w:szCs w:val="24"/>
          <w:highlight w:val="none"/>
          <w:u w:val="single"/>
        </w:rPr>
        <w:t>(Vyplní záujemca podľa predkladanej žiadosti.)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Doklady preukazujúce splnenie podmienky účasti podľa § 32</w:t>
      </w:r>
    </w:p>
    <w:p>
      <w:pPr>
        <w:pStyle w:val="style179"/>
        <w:numPr>
          <w:ilvl w:val="0"/>
          <w:numId w:val="2"/>
        </w:numPr>
        <w:spacing w:after="0" w:lineRule="auto" w:line="240"/>
        <w:jc w:val="both"/>
        <w:rPr>
          <w:rFonts w:ascii="Garamond" w:cs="Times New Roman" w:hAnsi="Garamond"/>
          <w:sz w:val="24"/>
          <w:szCs w:val="24"/>
          <w:highlight w:val="none"/>
        </w:rPr>
      </w:pPr>
      <w:r>
        <w:rPr>
          <w:rFonts w:ascii="Garamond" w:cs="Times New Roman" w:hAnsi="Garamond"/>
          <w:sz w:val="24"/>
          <w:szCs w:val="24"/>
          <w:highlight w:val="none"/>
        </w:rPr>
        <w:t>Splnomocnenie na zastupovanie záujemcu, ak žiadosť podpisuje iná osoba ako štatutárny zástupca</w:t>
      </w:r>
    </w:p>
    <w:p>
      <w:pPr>
        <w:pStyle w:val="style0"/>
        <w:rPr>
          <w:rFonts w:ascii="Times New Roman" w:cs="Times New Roman" w:hAnsi="Times New Roman"/>
          <w:highlight w:val="none"/>
        </w:rPr>
      </w:pPr>
    </w:p>
    <w:sectPr>
      <w:headerReference w:type="default" r:id="rId2"/>
      <w:footerReference w:type="default" r:id="rId3"/>
      <w:pgSz w:w="11906" w:h="16838" w:orient="portrait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0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000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0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000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ee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>
      <w:trPr>
        <w:trHeight w:val="300" w:hRule="atLeast"/>
      </w:trPr>
      <w:tc>
        <w:tcPr>
          <w:tcW w:w="3020" w:type="dxa"/>
          <w:tcBorders/>
        </w:tcPr>
        <w:p>
          <w:pPr>
            <w:pStyle w:val="style31"/>
            <w:ind w:left="-115"/>
            <w:rPr/>
          </w:pPr>
        </w:p>
      </w:tc>
      <w:tc>
        <w:tcPr>
          <w:tcW w:w="3020" w:type="dxa"/>
          <w:tcBorders/>
        </w:tcPr>
        <w:p>
          <w:pPr>
            <w:pStyle w:val="style31"/>
            <w:jc w:val="center"/>
            <w:rPr/>
          </w:pPr>
        </w:p>
      </w:tc>
      <w:tc>
        <w:tcPr>
          <w:tcW w:w="3020" w:type="dxa"/>
          <w:tcBorders/>
        </w:tcPr>
        <w:p>
          <w:pPr>
            <w:pStyle w:val="style31"/>
            <w:ind w:right="-115"/>
            <w:jc w:val="right"/>
            <w:rPr/>
          </w:pPr>
        </w:p>
      </w:tc>
    </w:tr>
  </w:tbl>
  <w:p>
    <w:pPr>
      <w:pStyle w:val="style32"/>
      <w:rPr/>
    </w:pP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spacing w:after="60"/>
        <w:jc w:val="both"/>
        <w:rPr>
          <w:rFonts w:ascii="Garamond" w:cs="Times New Roman" w:hAnsi="Garamond"/>
        </w:rPr>
      </w:pPr>
      <w:r>
        <w:rPr>
          <w:rStyle w:val="style38"/>
          <w:rFonts w:ascii="Garamond" w:hAnsi="Garamond"/>
        </w:rPr>
        <w:footnoteRef/>
      </w:r>
      <w:r>
        <w:rPr>
          <w:rFonts w:ascii="Garamond" w:cs="Times New Roman" w:hAnsi="Garamond"/>
        </w:rPr>
        <w:t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Predmetný záväzok zaväzuje k tomu, aby jedna a tá istá spoločnosť nepredložila jednu žiadosť o zaradenie do DNS samostatne a zároveň ďalšiu žiadosť o zaradenie do DNS ako člen skupiny dodávateľov. 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tblStyle w:val="style15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3"/>
      <w:gridCol w:w="7720"/>
    </w:tblGrid>
    <w:tr>
      <w:trPr/>
      <w:tc>
        <w:tcPr>
          <w:tcW w:w="1358" w:type="dxa"/>
          <w:vMerge w:val="restart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  <w:bookmarkStart w:id="0" w:name="_Hlk68613026"/>
          <w:bookmarkStart w:id="1" w:name="_Hlk68613027"/>
          <w:r>
            <w:rPr>
              <w:b/>
              <w:bCs/>
              <w:noProof/>
            </w:rPr>
            <w:drawing>
              <wp:inline distL="0" distT="0" distB="0" distR="0">
                <wp:extent cx="766729" cy="768350"/>
                <wp:effectExtent l="0" t="0" r="0" b="0"/>
                <wp:docPr id="4097" name="Obrázok 3" descr="Obrázok, na ktorom je grafika, pestrofarebnosť, snímka obrazovky, kruh&#10;&#10;Obsah vygenerovaný pomocou AI môže byť nesprávny.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3"/>
                        <pic:cNvPicPr/>
                      </pic:nvPicPr>
                      <pic:blipFill>
                        <a:blip r:embed="rId1" cstate="print"/>
                        <a:srcRect l="0" t="0" r="0" b="0"/>
                        <a:stretch/>
                      </pic:blipFill>
                      <pic:spPr>
                        <a:xfrm rot="0">
                          <a:off x="0" y="0"/>
                          <a:ext cx="766729" cy="76835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6" w:type="dxa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jc w:val="right"/>
            <w:rPr>
              <w:bCs/>
              <w:szCs w:val="24"/>
            </w:rPr>
          </w:pPr>
        </w:p>
      </w:tc>
    </w:tr>
    <w:tr>
      <w:tblPrEx/>
      <w:trPr/>
      <w:tc>
        <w:tcPr>
          <w:tcW w:w="1358" w:type="dxa"/>
          <w:vMerge w:val="continue"/>
          <w:tcBorders/>
        </w:tcPr>
        <w:p>
          <w:pPr>
            <w:pStyle w:val="style31"/>
            <w:tabs>
              <w:tab w:val="clear" w:pos="4536"/>
              <w:tab w:val="clear" w:pos="9072"/>
            </w:tabs>
            <w:ind w:right="-144"/>
            <w:rPr>
              <w:sz w:val="22"/>
            </w:rPr>
          </w:pPr>
        </w:p>
      </w:tc>
      <w:tc>
        <w:tcPr>
          <w:tcW w:w="8156" w:type="dxa"/>
          <w:tcBorders/>
        </w:tcPr>
        <w:p>
          <w:pPr>
            <w:pStyle w:val="style0"/>
            <w:tabs>
              <w:tab w:val="right" w:leader="none" w:pos="7885"/>
            </w:tabs>
            <w:jc w:val="right"/>
            <w:rPr>
              <w:bCs/>
              <w:szCs w:val="24"/>
            </w:rPr>
          </w:pPr>
          <w:r>
            <w:rPr>
              <w:bCs/>
              <w:szCs w:val="24"/>
            </w:rPr>
            <w:t>„Zabezpečenie centrálneho nákupu hygienických potrieb pre Hlavné mesto SR Bratislava a ďalšie subjekty</w:t>
          </w:r>
          <w:r>
            <w:rPr>
              <w:bCs/>
              <w:szCs w:val="24"/>
              <w:highlight w:val="none"/>
            </w:rPr>
            <w:t>“</w:t>
          </w:r>
        </w:p>
        <w:p>
          <w:pPr>
            <w:pStyle w:val="style31"/>
            <w:tabs>
              <w:tab w:val="clear" w:pos="4536"/>
              <w:tab w:val="clear" w:pos="9072"/>
            </w:tabs>
            <w:ind w:right="-144"/>
            <w:jc w:val="right"/>
            <w:rPr>
              <w:szCs w:val="24"/>
            </w:rPr>
          </w:pPr>
        </w:p>
      </w:tc>
    </w:tr>
    <w:bookmarkEnd w:id="0"/>
    <w:bookmarkEnd w:id="1"/>
  </w:tbl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cs="SimSun" w:eastAsia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388C5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cs="SimSun" w:eastAsia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sk-SK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100"/>
    <w:qFormat/>
    <w:uiPriority w:val="9"/>
    <w:pPr>
      <w:widowControl w:val="false"/>
      <w:autoSpaceDE w:val="false"/>
      <w:autoSpaceDN w:val="false"/>
      <w:spacing w:after="0" w:lineRule="auto" w:line="240"/>
      <w:ind w:left="898" w:hanging="421"/>
      <w:jc w:val="both"/>
      <w:outlineLvl w:val="0"/>
    </w:pPr>
    <w:rPr>
      <w:rFonts w:ascii="Times New Roman" w:cs="Times New Roman" w:eastAsia="Times New Roman" w:hAnsi="Times New Roman"/>
      <w:b/>
      <w:bCs/>
      <w:sz w:val="24"/>
      <w:szCs w:val="24"/>
      <w:lang w:bidi="sk-SK" w:eastAsia="sk-SK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link w:val="style4103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7">
    <w:name w:val="Hlavička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098">
    <w:name w:val="Päta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 bubliny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100">
    <w:name w:val="Nadpis 1 Char"/>
    <w:basedOn w:val="style65"/>
    <w:next w:val="style4100"/>
    <w:link w:val="style1"/>
    <w:uiPriority w:val="9"/>
    <w:rPr>
      <w:rFonts w:ascii="Times New Roman" w:cs="Times New Roman" w:eastAsia="Times New Roman" w:hAnsi="Times New Roman"/>
      <w:b/>
      <w:bCs/>
      <w:sz w:val="24"/>
      <w:szCs w:val="24"/>
      <w:lang w:bidi="sk-SK" w:eastAsia="sk-SK"/>
    </w:rPr>
  </w:style>
  <w:style w:type="paragraph" w:styleId="style29">
    <w:name w:val="footnote text"/>
    <w:basedOn w:val="style0"/>
    <w:next w:val="style29"/>
    <w:link w:val="style4101"/>
    <w:uiPriority w:val="99"/>
    <w:pPr>
      <w:spacing w:after="0" w:lineRule="auto" w:line="240"/>
    </w:pPr>
    <w:rPr>
      <w:sz w:val="20"/>
      <w:szCs w:val="20"/>
    </w:rPr>
  </w:style>
  <w:style w:type="character" w:customStyle="1" w:styleId="style4101">
    <w:name w:val="Text poznámky pod čiarou Char"/>
    <w:basedOn w:val="style65"/>
    <w:next w:val="style4101"/>
    <w:link w:val="style29"/>
    <w:uiPriority w:val="99"/>
    <w:rPr>
      <w:sz w:val="20"/>
      <w:szCs w:val="2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0">
    <w:name w:val="annotation text"/>
    <w:basedOn w:val="style0"/>
    <w:next w:val="style30"/>
    <w:link w:val="style4102"/>
    <w:uiPriority w:val="99"/>
    <w:pPr>
      <w:spacing w:after="200" w:lineRule="auto" w:line="276"/>
    </w:pPr>
    <w:rPr>
      <w:rFonts w:cs="Times New Roman"/>
      <w:sz w:val="20"/>
      <w:szCs w:val="20"/>
    </w:rPr>
  </w:style>
  <w:style w:type="character" w:customStyle="1" w:styleId="style4102">
    <w:name w:val="Text komentára Char"/>
    <w:basedOn w:val="style65"/>
    <w:next w:val="style4102"/>
    <w:link w:val="style30"/>
    <w:uiPriority w:val="99"/>
    <w:rPr>
      <w:rFonts w:cs="Times New Roman"/>
      <w:sz w:val="20"/>
      <w:szCs w:val="20"/>
    </w:rPr>
  </w:style>
  <w:style w:type="character" w:styleId="style39">
    <w:name w:val="annotation reference"/>
    <w:next w:val="style39"/>
    <w:uiPriority w:val="99"/>
    <w:rPr>
      <w:sz w:val="16"/>
      <w:szCs w:val="16"/>
    </w:rPr>
  </w:style>
  <w:style w:type="character" w:customStyle="1" w:styleId="style4103">
    <w:name w:val="Odsek zoznamu Char"/>
    <w:basedOn w:val="style65"/>
    <w:next w:val="style4103"/>
    <w:link w:val="style179"/>
    <w:uiPriority w:val="34"/>
  </w:style>
  <w:style w:type="paragraph" w:styleId="style178">
    <w:name w:val="Revision"/>
    <w:next w:val="style178"/>
    <w:uiPriority w:val="99"/>
    <w:pPr>
      <w:spacing w:after="0" w:lineRule="auto" w:line="240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customStyle="1" w:styleId="style4104">
    <w:name w:val="Unresolved Mention"/>
    <w:basedOn w:val="style65"/>
    <w:next w:val="style4104"/>
    <w:uiPriority w:val="99"/>
    <w:rPr>
      <w:color w:val="605e5c"/>
      <w:shd w:val="clear" w:color="auto" w:fill="e1dfdd"/>
    </w:rPr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104ccc60e22c10d881780167321ba490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50bdc4b8aedfb91b2a83b2e3e6393a67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C45F1-AD53-4302-888C-AF477973BEF3}"/>
</file>

<file path=customXml/itemProps2.xml><?xml version="1.0" encoding="utf-8"?>
<ds:datastoreItem xmlns:ds="http://schemas.openxmlformats.org/officeDocument/2006/customXml" ds:itemID="{0F49025A-EDDE-4AF8-9C53-3344A8A9FD65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0C73848D-9DFE-4E28-B96C-6E0D1A4A9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Words>476</Words>
  <Pages>2</Pages>
  <Characters>2891</Characters>
  <Application>WPS Office</Application>
  <DocSecurity>0</DocSecurity>
  <Paragraphs>83</Paragraphs>
  <ScaleCrop>false</ScaleCrop>
  <LinksUpToDate>false</LinksUpToDate>
  <CharactersWithSpaces>3341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2025-07-30T14:21:00Z</dcterms:created>
  <dc:creator>Hláčik Ľuboš</dc:creator>
  <lastModifiedBy>TB311XU</lastModifiedBy>
  <dcterms:modified xsi:type="dcterms:W3CDTF">2025-09-14T17:09:52Z</dcterms:modified>
  <revision>39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ICV">
    <vt:lpwstr>0bf239649ce94beba57110c93cc907a2</vt:lpwstr>
  </property>
  <property fmtid="{D5CDD505-2E9C-101B-9397-08002B2CF9AE}" pid="4" name="MediaServiceImageTags">
    <vt:lpwstr/>
  </property>
</Properties>
</file>