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25E9798A"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559A0178" w14:textId="77777777" w:rsidR="00172E86" w:rsidRPr="00172E86" w:rsidRDefault="00172E86" w:rsidP="00172E86">
      <w:pPr>
        <w:pStyle w:val="Odsekzoznamu"/>
        <w:rPr>
          <w:rFonts w:ascii="Arial Narrow" w:eastAsia="Arial" w:hAnsi="Arial Narrow"/>
        </w:rPr>
      </w:pPr>
    </w:p>
    <w:p w14:paraId="0334174A" w14:textId="0FAA1384" w:rsidR="00172E86" w:rsidRDefault="00172E86" w:rsidP="00172E86">
      <w:pPr>
        <w:pStyle w:val="Odsekzoznamu"/>
        <w:numPr>
          <w:ilvl w:val="0"/>
          <w:numId w:val="2"/>
        </w:numPr>
        <w:autoSpaceDE w:val="0"/>
        <w:autoSpaceDN w:val="0"/>
        <w:adjustRightInd w:val="0"/>
        <w:spacing w:after="0" w:line="240" w:lineRule="auto"/>
        <w:jc w:val="both"/>
        <w:rPr>
          <w:rFonts w:ascii="Arial Narrow" w:eastAsia="Arial" w:hAnsi="Arial Narrow"/>
        </w:rPr>
      </w:pPr>
      <w:r w:rsidRPr="00172E86">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ktorých splnenie preukazuje podľa § 32 ods. 2 zákona. Záujemca sa považuje za spĺňajúceho podmienky účasti týkajúce sa osobného postavenia podľa § 32 ods. 1 písm. b) a c) zákona, ak zaplatil nedoplatky alebo mu bolo povolené nedoplatky platiť v splátkach, čo preukáže príslušným potvrdením.</w:t>
      </w:r>
    </w:p>
    <w:p w14:paraId="51688B62" w14:textId="77777777" w:rsidR="00172E86" w:rsidRPr="00172E86" w:rsidRDefault="00172E86" w:rsidP="00172E86">
      <w:pPr>
        <w:pStyle w:val="Odsekzoznamu"/>
        <w:rPr>
          <w:rFonts w:ascii="Arial Narrow" w:eastAsia="Arial" w:hAnsi="Arial Narrow"/>
        </w:rPr>
      </w:pPr>
    </w:p>
    <w:p w14:paraId="4A81A52B" w14:textId="754BC5FB" w:rsidR="00D1269C" w:rsidRPr="00D1269C" w:rsidRDefault="00981766" w:rsidP="00D1269C">
      <w:pPr>
        <w:pStyle w:val="Odsekzoznamu"/>
        <w:numPr>
          <w:ilvl w:val="0"/>
          <w:numId w:val="2"/>
        </w:numPr>
        <w:autoSpaceDE w:val="0"/>
        <w:autoSpaceDN w:val="0"/>
        <w:adjustRightInd w:val="0"/>
        <w:spacing w:after="0" w:line="240" w:lineRule="auto"/>
        <w:jc w:val="both"/>
        <w:rPr>
          <w:rFonts w:ascii="Arial Narrow" w:eastAsia="Arial" w:hAnsi="Arial Narrow"/>
        </w:rPr>
      </w:pPr>
      <w:r>
        <w:rPr>
          <w:rFonts w:ascii="Arial Narrow" w:eastAsia="Arial" w:hAnsi="Arial Narrow"/>
        </w:rPr>
        <w:t>p</w:t>
      </w:r>
      <w:r w:rsidR="00D1269C" w:rsidRPr="00D1269C">
        <w:rPr>
          <w:rFonts w:ascii="Arial Narrow" w:eastAsia="Arial" w:hAnsi="Arial Narrow"/>
        </w:rPr>
        <w:t>odľa § 32 ods. 7 zákona podmienky účasti podľa § 32 ods.1 písm. a) zákona musí spĺňať aj iná osoba ako osoba podľa § 32 ods. 1 písm. a) zákona, ak táto osoba má právo za ňu konať, práva spojené s rozhodovaním alebo kontrolou v hospodárskom subjekte, ktorý sa chce zúčastniť verejného obstarávania. Splnenie podmienky účasti podľa prvej vety preukazuje predložením čestného vyhlásenia podľa prílohy č. 2a týchto súťažných podkladov alebo vyhlásenia podľa § 32 ods. 5 zákona, ak právo štátu uchádzača so sídlom, miestom podnikania alebo obvyklým pobytom mimo územia Slovenskej republiky neupravuje inštitút čestného vyhlásenia, ako súčasť ponuky alebo v žiadosti o účasť. V čestnom vyhlásení alebo vyhlásení uchádzač uvedie zoznam osôb podľa prvej vety.</w:t>
      </w:r>
    </w:p>
    <w:p w14:paraId="636F3A4B" w14:textId="1B01CB3E" w:rsidR="00355B92" w:rsidRPr="00981766" w:rsidRDefault="00D1269C" w:rsidP="00981766">
      <w:pPr>
        <w:pStyle w:val="Odsekzoznamu"/>
        <w:autoSpaceDE w:val="0"/>
        <w:autoSpaceDN w:val="0"/>
        <w:adjustRightInd w:val="0"/>
        <w:spacing w:after="0" w:line="240" w:lineRule="auto"/>
        <w:ind w:left="681"/>
        <w:jc w:val="both"/>
        <w:rPr>
          <w:rFonts w:ascii="Arial Narrow" w:eastAsia="Arial" w:hAnsi="Arial Narrow"/>
        </w:rPr>
      </w:pPr>
      <w:r w:rsidRPr="00D1269C">
        <w:rPr>
          <w:rFonts w:ascii="Arial Narrow" w:eastAsia="Arial" w:hAnsi="Arial Narrow"/>
        </w:rPr>
        <w:t>Vzor príslušného čestného vyhlásenia v zmysle bodu G) tvorí prílohu č. 6a týchto súťažných podkladov.</w:t>
      </w:r>
    </w:p>
    <w:p w14:paraId="31265076" w14:textId="77777777" w:rsidR="00172E86" w:rsidRDefault="00172E8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198AD658" w:rsidR="000F2CF2" w:rsidRPr="00A05F97" w:rsidRDefault="00452ED7" w:rsidP="00A05F97">
      <w:pPr>
        <w:pStyle w:val="Textkomentra"/>
        <w:jc w:val="both"/>
        <w:rPr>
          <w:rFonts w:ascii="Arial Narrow" w:hAnsi="Arial Narrow" w:cs="Arial"/>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6D5B302B"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 mimo územia Slovenskej republiky)</w:t>
      </w:r>
      <w:r w:rsidR="004E10DB">
        <w:rPr>
          <w:rFonts w:ascii="Arial Narrow" w:hAnsi="Arial Narrow" w:cs="Arial"/>
        </w:rPr>
        <w:t xml:space="preserve"> na potrebu prípadnej aktualizácie údajov v predmetnom 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2EDEBEA6" w:rsidR="00B417C0" w:rsidRDefault="00B417C0" w:rsidP="00B417C0">
      <w:pPr>
        <w:widowControl w:val="0"/>
        <w:tabs>
          <w:tab w:val="left" w:pos="0"/>
        </w:tabs>
        <w:spacing w:after="120" w:line="240" w:lineRule="exact"/>
        <w:jc w:val="both"/>
        <w:rPr>
          <w:rFonts w:ascii="Arial Narrow" w:hAnsi="Arial Narrow" w:cs="Arial"/>
        </w:rPr>
      </w:pPr>
    </w:p>
    <w:p w14:paraId="3244B7D4" w14:textId="77777777" w:rsidR="00981766" w:rsidRPr="00B417C0" w:rsidRDefault="00981766"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lastRenderedPageBreak/>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5945E87E" w14:textId="1956DCDC" w:rsidR="00452873" w:rsidRDefault="004D271F" w:rsidP="00355B92">
      <w:pPr>
        <w:spacing w:before="120" w:after="120" w:line="240" w:lineRule="auto"/>
        <w:jc w:val="both"/>
        <w:rPr>
          <w:rFonts w:ascii="Arial Narrow" w:eastAsia="Times New Roman" w:hAnsi="Arial Narrow" w:cs="Times New Roman"/>
          <w:lang w:eastAsia="sk-SK"/>
        </w:rPr>
      </w:pPr>
      <w:r w:rsidRPr="004D271F">
        <w:rPr>
          <w:rFonts w:ascii="Arial Narrow" w:eastAsia="Times New Roman" w:hAnsi="Arial Narrow" w:cs="Times New Roman"/>
          <w:lang w:eastAsia="sk-SK"/>
        </w:rPr>
        <w:t>Nepožaduje sa</w:t>
      </w:r>
    </w:p>
    <w:p w14:paraId="3463B119" w14:textId="77777777" w:rsidR="004D271F" w:rsidRPr="004D271F" w:rsidRDefault="004D271F" w:rsidP="00355B92">
      <w:pPr>
        <w:spacing w:before="120" w:after="120" w:line="240" w:lineRule="auto"/>
        <w:jc w:val="both"/>
        <w:rPr>
          <w:rFonts w:ascii="Arial Narrow" w:eastAsia="Times New Roman" w:hAnsi="Arial Narrow" w:cs="Times New Roman"/>
          <w:lang w:eastAsia="sk-SK"/>
        </w:rPr>
      </w:pP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77986FB4" w14:textId="323E9A75" w:rsidR="00355B92" w:rsidRPr="00A063DA" w:rsidRDefault="003D2353" w:rsidP="00355B92">
      <w:pPr>
        <w:pStyle w:val="Bezriadkovania"/>
        <w:spacing w:before="120" w:after="120"/>
        <w:jc w:val="both"/>
        <w:rPr>
          <w:rFonts w:ascii="Arial Narrow" w:hAnsi="Arial Narrow"/>
          <w:b/>
          <w:lang w:eastAsia="sk-SK"/>
        </w:rPr>
      </w:pPr>
      <w:r>
        <w:rPr>
          <w:rFonts w:ascii="Arial Narrow" w:hAnsi="Arial Narrow"/>
          <w:b/>
          <w:lang w:eastAsia="sk-SK"/>
        </w:rPr>
        <w:t>3</w:t>
      </w:r>
      <w:r w:rsidR="00355B92">
        <w:rPr>
          <w:rFonts w:ascii="Arial Narrow" w:hAnsi="Arial Narrow"/>
          <w:b/>
          <w:lang w:eastAsia="sk-SK"/>
        </w:rPr>
        <w:t>.</w:t>
      </w:r>
      <w:r w:rsidR="00355B92" w:rsidRPr="00A063DA">
        <w:rPr>
          <w:rFonts w:ascii="Arial Narrow" w:hAnsi="Arial Narrow"/>
          <w:b/>
          <w:lang w:eastAsia="sk-SK"/>
        </w:rPr>
        <w:t xml:space="preserve">1. Podľa § 34 ods. 1 písm. </w:t>
      </w:r>
      <w:r w:rsidR="004D271F">
        <w:rPr>
          <w:rFonts w:ascii="Arial Narrow" w:hAnsi="Arial Narrow"/>
          <w:b/>
          <w:lang w:eastAsia="sk-SK"/>
        </w:rPr>
        <w:t>a</w:t>
      </w:r>
      <w:r w:rsidR="00355B92" w:rsidRPr="004D271F">
        <w:rPr>
          <w:rFonts w:ascii="Arial Narrow" w:hAnsi="Arial Narrow"/>
          <w:b/>
          <w:lang w:eastAsia="sk-SK"/>
        </w:rPr>
        <w:t>)</w:t>
      </w:r>
      <w:r w:rsidR="00355B92" w:rsidRPr="00A063DA">
        <w:rPr>
          <w:rFonts w:ascii="Arial Narrow" w:hAnsi="Arial Narrow"/>
          <w:b/>
          <w:lang w:eastAsia="sk-SK"/>
        </w:rPr>
        <w:t xml:space="preserve"> zákona </w:t>
      </w:r>
    </w:p>
    <w:p w14:paraId="2E024C25" w14:textId="77777777"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1827778" w14:textId="57B4A074" w:rsidR="00A23846" w:rsidRPr="00A23846" w:rsidRDefault="00355B92" w:rsidP="00A23846">
      <w:pPr>
        <w:shd w:val="clear" w:color="auto" w:fill="FFFFFF"/>
        <w:jc w:val="both"/>
        <w:rPr>
          <w:rFonts w:ascii="Arial Narrow" w:hAnsi="Arial Narrow" w:cstheme="minorHAnsi"/>
          <w:lang w:eastAsia="cs-CZ"/>
        </w:rPr>
      </w:pPr>
      <w:r w:rsidRPr="00355B92">
        <w:rPr>
          <w:rFonts w:ascii="Arial Narrow" w:hAnsi="Arial Narrow" w:cstheme="minorHAnsi"/>
          <w:lang w:eastAsia="cs-CZ"/>
        </w:rPr>
        <w:t xml:space="preserve">§ 34 ods. 1 písm. </w:t>
      </w:r>
      <w:r w:rsidR="00A73BB8">
        <w:rPr>
          <w:rFonts w:ascii="Arial Narrow" w:hAnsi="Arial Narrow" w:cstheme="minorHAnsi"/>
          <w:lang w:eastAsia="cs-CZ"/>
        </w:rPr>
        <w:t>a</w:t>
      </w:r>
      <w:r w:rsidRPr="00A73BB8">
        <w:rPr>
          <w:rFonts w:ascii="Arial Narrow" w:hAnsi="Arial Narrow" w:cstheme="minorHAnsi"/>
          <w:lang w:eastAsia="cs-CZ"/>
        </w:rPr>
        <w:t>)</w:t>
      </w:r>
      <w:r w:rsidRPr="00355B92">
        <w:rPr>
          <w:rFonts w:ascii="Arial Narrow" w:hAnsi="Arial Narrow" w:cstheme="minorHAnsi"/>
          <w:lang w:eastAsia="cs-CZ"/>
        </w:rPr>
        <w:t xml:space="preserve"> zákona – </w:t>
      </w:r>
      <w:r w:rsidR="00A23846" w:rsidRPr="00A23846">
        <w:rPr>
          <w:rFonts w:ascii="Arial Narrow" w:hAnsi="Arial Narrow" w:cstheme="minorHAnsi"/>
          <w:lang w:eastAsia="cs-CZ"/>
        </w:rPr>
        <w:t>verejný obstarávateľ požaduje predložiť zoznam poskytnutých služieb za predchádzajúc</w:t>
      </w:r>
      <w:r w:rsidR="009C0F04">
        <w:rPr>
          <w:rFonts w:ascii="Arial Narrow" w:hAnsi="Arial Narrow" w:cstheme="minorHAnsi"/>
          <w:lang w:eastAsia="cs-CZ"/>
        </w:rPr>
        <w:t>e</w:t>
      </w:r>
      <w:r w:rsidR="00A23846" w:rsidRPr="00A23846">
        <w:rPr>
          <w:rFonts w:ascii="Arial Narrow" w:hAnsi="Arial Narrow" w:cstheme="minorHAnsi"/>
          <w:lang w:eastAsia="cs-CZ"/>
        </w:rPr>
        <w:t xml:space="preserve"> </w:t>
      </w:r>
      <w:r w:rsidR="009C0F04">
        <w:rPr>
          <w:rFonts w:ascii="Arial Narrow" w:hAnsi="Arial Narrow" w:cstheme="minorHAnsi"/>
          <w:lang w:eastAsia="cs-CZ"/>
        </w:rPr>
        <w:t>tri</w:t>
      </w:r>
      <w:r w:rsidR="00A23846" w:rsidRPr="00A23846">
        <w:rPr>
          <w:rFonts w:ascii="Arial Narrow" w:hAnsi="Arial Narrow" w:cstheme="minorHAnsi"/>
          <w:lang w:eastAsia="cs-CZ"/>
        </w:rPr>
        <w:t xml:space="preserve"> rok</w:t>
      </w:r>
      <w:r w:rsidR="009C0F04">
        <w:rPr>
          <w:rFonts w:ascii="Arial Narrow" w:hAnsi="Arial Narrow" w:cstheme="minorHAnsi"/>
          <w:lang w:eastAsia="cs-CZ"/>
        </w:rPr>
        <w:t>y</w:t>
      </w:r>
      <w:r w:rsidR="00A23846" w:rsidRPr="00A23846">
        <w:rPr>
          <w:rFonts w:ascii="Arial Narrow" w:hAnsi="Arial Narrow" w:cstheme="minorHAnsi"/>
          <w:lang w:eastAsia="cs-CZ"/>
        </w:rPr>
        <w:t xml:space="preserve"> (</w:t>
      </w:r>
      <w:r w:rsidR="009C0F04">
        <w:rPr>
          <w:rFonts w:ascii="Arial Narrow" w:hAnsi="Arial Narrow" w:cstheme="minorHAnsi"/>
          <w:lang w:eastAsia="cs-CZ"/>
        </w:rPr>
        <w:t>36</w:t>
      </w:r>
      <w:r w:rsidR="00A23846" w:rsidRPr="00A23846">
        <w:rPr>
          <w:rFonts w:ascii="Arial Narrow" w:hAnsi="Arial Narrow" w:cstheme="minorHAnsi"/>
          <w:lang w:eastAsia="cs-CZ"/>
        </w:rPr>
        <w:t xml:space="preserve"> mesiacov)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w:t>
      </w:r>
    </w:p>
    <w:p w14:paraId="252DEF51" w14:textId="77777777" w:rsidR="00A23846" w:rsidRPr="00A23846" w:rsidRDefault="00A23846" w:rsidP="00A23846">
      <w:pPr>
        <w:shd w:val="clear" w:color="auto" w:fill="FFFFFF"/>
        <w:jc w:val="both"/>
        <w:rPr>
          <w:rFonts w:ascii="Arial Narrow" w:hAnsi="Arial Narrow" w:cstheme="minorHAnsi"/>
          <w:lang w:eastAsia="cs-CZ"/>
        </w:rPr>
      </w:pPr>
      <w:bookmarkStart w:id="0" w:name="_GoBack"/>
      <w:bookmarkEnd w:id="0"/>
    </w:p>
    <w:p w14:paraId="292FF5BE" w14:textId="4871884D" w:rsidR="00BA0192" w:rsidRDefault="00A23846" w:rsidP="00A23846">
      <w:pPr>
        <w:shd w:val="clear" w:color="auto" w:fill="FFFFFF"/>
        <w:jc w:val="both"/>
        <w:rPr>
          <w:rFonts w:ascii="Arial Narrow" w:eastAsia="Arial" w:hAnsi="Arial Narrow" w:cs="Arial"/>
          <w:szCs w:val="20"/>
        </w:rPr>
      </w:pPr>
      <w:r w:rsidRPr="00A23846">
        <w:rPr>
          <w:rFonts w:ascii="Arial Narrow" w:hAnsi="Arial Narrow" w:cstheme="minorHAnsi"/>
          <w:lang w:eastAsia="cs-CZ"/>
        </w:rPr>
        <w:t>Splnenie vyššie uvedeného uchádzač preukáže predložením zoznamu poskytnutých služieb za predchádzajúc</w:t>
      </w:r>
      <w:r w:rsidR="009C0F04">
        <w:rPr>
          <w:rFonts w:ascii="Arial Narrow" w:hAnsi="Arial Narrow" w:cstheme="minorHAnsi"/>
          <w:lang w:eastAsia="cs-CZ"/>
        </w:rPr>
        <w:t>e</w:t>
      </w:r>
      <w:r w:rsidRPr="00A23846">
        <w:rPr>
          <w:rFonts w:ascii="Arial Narrow" w:hAnsi="Arial Narrow" w:cstheme="minorHAnsi"/>
          <w:lang w:eastAsia="cs-CZ"/>
        </w:rPr>
        <w:t xml:space="preserve">  </w:t>
      </w:r>
      <w:r w:rsidR="009C0F04">
        <w:rPr>
          <w:rFonts w:ascii="Arial Narrow" w:hAnsi="Arial Narrow" w:cstheme="minorHAnsi"/>
          <w:lang w:eastAsia="cs-CZ"/>
        </w:rPr>
        <w:t>3</w:t>
      </w:r>
      <w:r w:rsidRPr="00A23846">
        <w:rPr>
          <w:rFonts w:ascii="Arial Narrow" w:hAnsi="Arial Narrow" w:cstheme="minorHAnsi"/>
          <w:lang w:eastAsia="cs-CZ"/>
        </w:rPr>
        <w:t xml:space="preserve"> rok</w:t>
      </w:r>
      <w:r w:rsidR="009C0F04">
        <w:rPr>
          <w:rFonts w:ascii="Arial Narrow" w:hAnsi="Arial Narrow" w:cstheme="minorHAnsi"/>
          <w:lang w:eastAsia="cs-CZ"/>
        </w:rPr>
        <w:t>y</w:t>
      </w:r>
      <w:r w:rsidRPr="00A23846">
        <w:rPr>
          <w:rFonts w:ascii="Arial Narrow" w:hAnsi="Arial Narrow" w:cstheme="minorHAnsi"/>
          <w:lang w:eastAsia="cs-CZ"/>
        </w:rPr>
        <w:t xml:space="preserve"> od vyhlásenia verejného obstarávania, potvrdzujúce poskytnutie služby rovnakého alebo obdobného charakteru ako je predmet zákazky</w:t>
      </w:r>
      <w:r w:rsidRPr="00EE45F7">
        <w:rPr>
          <w:rFonts w:ascii="Arial Narrow" w:hAnsi="Arial Narrow" w:cstheme="minorHAnsi"/>
          <w:lang w:eastAsia="cs-CZ"/>
        </w:rPr>
        <w:t xml:space="preserve">, v celkovej hodnote minimálne </w:t>
      </w:r>
      <w:r w:rsidR="00981766">
        <w:rPr>
          <w:rFonts w:ascii="Arial Narrow" w:hAnsi="Arial Narrow" w:cstheme="minorHAnsi"/>
          <w:lang w:eastAsia="cs-CZ"/>
        </w:rPr>
        <w:t>200</w:t>
      </w:r>
      <w:r w:rsidRPr="00EE45F7">
        <w:rPr>
          <w:rFonts w:ascii="Arial Narrow" w:hAnsi="Arial Narrow" w:cstheme="minorHAnsi"/>
          <w:lang w:eastAsia="cs-CZ"/>
        </w:rPr>
        <w:t xml:space="preserve"> 000,- EUR bez DPH</w:t>
      </w:r>
    </w:p>
    <w:p w14:paraId="5ACB537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Zoznam poskytnutých služieb musí obsahovať minimálne:</w:t>
      </w:r>
    </w:p>
    <w:p w14:paraId="2D9FBFE5"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a)</w:t>
      </w:r>
      <w:r w:rsidRPr="00A23846">
        <w:rPr>
          <w:rFonts w:ascii="Arial Narrow" w:hAnsi="Arial Narrow" w:cs="Arial"/>
        </w:rPr>
        <w:tab/>
        <w:t>názov a sídlo odberateľa,</w:t>
      </w:r>
    </w:p>
    <w:p w14:paraId="64918F61"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b)</w:t>
      </w:r>
      <w:r w:rsidRPr="00A23846">
        <w:rPr>
          <w:rFonts w:ascii="Arial Narrow" w:hAnsi="Arial Narrow" w:cs="Arial"/>
        </w:rPr>
        <w:tab/>
        <w:t>kontaktné údaje odberateľa, kde je možné uvedené informácie overiť (meno a priezvisko, tel. č., e-mail),</w:t>
      </w:r>
    </w:p>
    <w:p w14:paraId="3F36584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c)</w:t>
      </w:r>
      <w:r w:rsidRPr="00A23846">
        <w:rPr>
          <w:rFonts w:ascii="Arial Narrow" w:hAnsi="Arial Narrow" w:cs="Arial"/>
        </w:rPr>
        <w:tab/>
        <w:t xml:space="preserve">predmet poskytnutej služby/zmluvy </w:t>
      </w:r>
    </w:p>
    <w:p w14:paraId="22E46B30"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d)</w:t>
      </w:r>
      <w:r w:rsidRPr="00A23846">
        <w:rPr>
          <w:rFonts w:ascii="Arial Narrow" w:hAnsi="Arial Narrow" w:cs="Arial"/>
        </w:rPr>
        <w:tab/>
        <w:t>skutočná lehota dodania/poskytnutia,</w:t>
      </w:r>
    </w:p>
    <w:p w14:paraId="2FF0E568"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e)</w:t>
      </w:r>
      <w:r w:rsidRPr="00A23846">
        <w:rPr>
          <w:rFonts w:ascii="Arial Narrow" w:hAnsi="Arial Narrow" w:cs="Arial"/>
        </w:rPr>
        <w:tab/>
        <w:t>cena poskytnutej služby v EUR bez DPH celkom za požadované rozhodné obdobie,</w:t>
      </w:r>
    </w:p>
    <w:p w14:paraId="479D9FDF"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f)</w:t>
      </w:r>
      <w:r w:rsidRPr="00A23846">
        <w:rPr>
          <w:rFonts w:ascii="Arial Narrow" w:hAnsi="Arial Narrow" w:cs="Arial"/>
        </w:rPr>
        <w:tab/>
        <w:t>odkaz na referenciu uvedenú v evidencii referencií podľa § 12 zákona (ak je to aplikovateľné).</w:t>
      </w:r>
    </w:p>
    <w:p w14:paraId="130DE9CF"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CBBFFD2" w14:textId="77777777" w:rsidR="00A23846" w:rsidRPr="00A23846" w:rsidRDefault="00A23846" w:rsidP="00A23846">
      <w:pPr>
        <w:shd w:val="clear" w:color="auto" w:fill="FFFFFF"/>
        <w:jc w:val="both"/>
        <w:rPr>
          <w:rFonts w:ascii="Arial Narrow" w:hAnsi="Arial Narrow" w:cs="Arial"/>
        </w:rPr>
      </w:pPr>
      <w:r w:rsidRPr="00A23846">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2FF34CBF" w14:textId="7D0A64BF" w:rsidR="003D2353" w:rsidRDefault="00A23846" w:rsidP="00A23846">
      <w:pPr>
        <w:shd w:val="clear" w:color="auto" w:fill="FFFFFF"/>
        <w:jc w:val="both"/>
        <w:rPr>
          <w:rFonts w:ascii="Arial Narrow" w:hAnsi="Arial Narrow" w:cs="Arial"/>
        </w:rPr>
      </w:pPr>
      <w:r w:rsidRPr="00A23846">
        <w:rPr>
          <w:rFonts w:ascii="Arial Narrow" w:hAnsi="Arial Narrow" w:cs="Arial"/>
        </w:rPr>
        <w:t xml:space="preserve">V prípade ak uchádzač predkladá/uvádza zmluvu, ktorej realizácia presahuje stanovené obdobie rokov, t.j. poskytovanie služby (zmluvy) začalo pred </w:t>
      </w:r>
      <w:r w:rsidR="009C0F04">
        <w:rPr>
          <w:rFonts w:ascii="Arial Narrow" w:hAnsi="Arial Narrow" w:cs="Arial"/>
        </w:rPr>
        <w:t>3</w:t>
      </w:r>
      <w:r w:rsidRPr="00A23846">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22AB00F3" w14:textId="28A329EF" w:rsidR="00CE37D8" w:rsidRDefault="00355B92" w:rsidP="00355B92">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w:t>
      </w:r>
      <w:r w:rsidR="00CE37D8">
        <w:rPr>
          <w:rFonts w:ascii="Arial Narrow" w:hAnsi="Arial Narrow"/>
        </w:rPr>
        <w:t>g</w:t>
      </w:r>
      <w:r>
        <w:rPr>
          <w:rFonts w:ascii="Arial Narrow" w:hAnsi="Arial Narrow"/>
        </w:rPr>
        <w:t xml:space="preserve">) a ods. </w:t>
      </w:r>
      <w:r w:rsidRPr="00487ED1">
        <w:rPr>
          <w:rFonts w:ascii="Arial Narrow" w:hAnsi="Arial Narrow"/>
        </w:rPr>
        <w:t xml:space="preserve">7 zákona, oprávnenie dodávať tovar, uskutočňovať stavebné práce, alebo poskytovať službu preukazuje vo vzťahu k tej časti </w:t>
      </w:r>
      <w:r w:rsidRPr="00487ED1">
        <w:rPr>
          <w:rFonts w:ascii="Arial Narrow" w:hAnsi="Arial Narrow"/>
        </w:rPr>
        <w:lastRenderedPageBreak/>
        <w:t xml:space="preserve">predmetu zákazky, na ktorú boli kapacity uchádzačovi poskytnuté. </w:t>
      </w:r>
      <w:r w:rsidR="00CE37D8" w:rsidRPr="00CE37D8">
        <w:rPr>
          <w:rFonts w:ascii="Arial Narrow" w:hAnsi="Arial Narrow"/>
        </w:rPr>
        <w:t>Verejný obstarávateľ môže u osoby, ktorej kapacity majú byť použité na preukázanie technickej spôsobilosti alebo odbornej spôsobilosti, hodnotiť existenciu dôvodov na vylúčenie podľa § 40 ods. 8</w:t>
      </w:r>
      <w:r w:rsidR="00CE37D8">
        <w:rPr>
          <w:rFonts w:ascii="Arial Narrow" w:hAnsi="Arial Narrow"/>
        </w:rPr>
        <w:t xml:space="preserve"> zákona.</w:t>
      </w:r>
    </w:p>
    <w:p w14:paraId="23D4033F" w14:textId="2F386C99" w:rsidR="00355B92" w:rsidRPr="00487ED1" w:rsidRDefault="00355B92" w:rsidP="00355B92">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 xml:space="preserve">účasti ohľadne </w:t>
      </w:r>
      <w:r w:rsidR="00452873" w:rsidRPr="00487ED1">
        <w:rPr>
          <w:rFonts w:ascii="Arial Narrow" w:hAnsi="Arial Narrow"/>
        </w:rPr>
        <w:t>technickej spôsobilosti alebo odbornej spôsobilosti</w:t>
      </w:r>
      <w:r w:rsidR="00452873">
        <w:rPr>
          <w:rFonts w:ascii="Arial Narrow" w:hAnsi="Arial Narrow"/>
        </w:rPr>
        <w:t xml:space="preserve"> </w:t>
      </w:r>
      <w:r w:rsidRPr="00487ED1">
        <w:rPr>
          <w:rFonts w:ascii="Arial Narrow" w:hAnsi="Arial Narrow"/>
        </w:rPr>
        <w:t xml:space="preserve">za všetkých členov skupiny spoločne. </w:t>
      </w:r>
    </w:p>
    <w:p w14:paraId="178D42C8" w14:textId="06F8AD23" w:rsidR="00355B92" w:rsidRPr="00C06AEC" w:rsidRDefault="0079456B" w:rsidP="00355B92">
      <w:pPr>
        <w:pStyle w:val="Odsekzoznamu"/>
        <w:tabs>
          <w:tab w:val="left" w:pos="0"/>
        </w:tabs>
        <w:spacing w:after="0" w:line="240" w:lineRule="auto"/>
        <w:ind w:left="0"/>
        <w:jc w:val="both"/>
        <w:rPr>
          <w:rFonts w:ascii="Arial Narrow" w:hAnsi="Arial Narrow" w:cstheme="minorHAnsi"/>
        </w:rPr>
      </w:pPr>
      <w:r w:rsidRPr="00C06AEC">
        <w:rPr>
          <w:rFonts w:ascii="Arial Narrow" w:hAnsi="Arial Narrow" w:cstheme="minorHAnsi"/>
        </w:rPr>
        <w:t xml:space="preserve">Uchádzač je </w:t>
      </w:r>
      <w:r w:rsidR="004F085D" w:rsidRPr="00C06AEC">
        <w:rPr>
          <w:rFonts w:ascii="Arial Narrow" w:hAnsi="Arial Narrow" w:cstheme="minorHAnsi"/>
        </w:rPr>
        <w:t xml:space="preserve">v ponuke </w:t>
      </w:r>
      <w:r w:rsidRPr="00C06AEC">
        <w:rPr>
          <w:rFonts w:ascii="Arial Narrow" w:hAnsi="Arial Narrow" w:cstheme="minorHAnsi"/>
        </w:rPr>
        <w:t>povinný identifikovať referencie uvedené v evidencii referencií podľa </w:t>
      </w:r>
      <w:hyperlink r:id="rId9" w:anchor="paragraf-12" w:tooltip="Odkaz na predpis alebo ustanovenie" w:history="1">
        <w:r w:rsidRPr="00C06AEC">
          <w:rPr>
            <w:rFonts w:ascii="Arial Narrow" w:hAnsi="Arial Narrow" w:cstheme="minorHAnsi"/>
          </w:rPr>
          <w:t>§ 12</w:t>
        </w:r>
      </w:hyperlink>
      <w:r w:rsidRPr="00C06AEC">
        <w:rPr>
          <w:rFonts w:ascii="Arial Narrow" w:hAnsi="Arial Narrow" w:cstheme="minorHAnsi"/>
        </w:rPr>
        <w:t xml:space="preserve"> zákona, ak takéto referencie ku dňu predloženia ponuky existujú, ktoré používa na preukázanie splnenia podmienky účasti  podľa </w:t>
      </w:r>
      <w:hyperlink r:id="rId10" w:anchor="paragraf-34.odsek-1.pismeno-a" w:tooltip="Odkaz na predpis alebo ustanovenie" w:history="1">
        <w:r w:rsidRPr="00C06AEC">
          <w:rPr>
            <w:rFonts w:ascii="Arial Narrow" w:hAnsi="Arial Narrow" w:cstheme="minorHAnsi"/>
          </w:rPr>
          <w:t>§ 34 ods. 1 písm. a)</w:t>
        </w:r>
      </w:hyperlink>
      <w:r w:rsidRPr="00C06AEC">
        <w:rPr>
          <w:rFonts w:ascii="Arial Narrow" w:hAnsi="Arial Narrow" w:cstheme="minorHAnsi"/>
        </w:rPr>
        <w:t> alebo </w:t>
      </w:r>
      <w:hyperlink r:id="rId11" w:anchor="paragraf-34.odsek-1.pismeno-b" w:tooltip="Odkaz na predpis alebo ustanovenie" w:history="1">
        <w:r w:rsidRPr="00C06AEC">
          <w:rPr>
            <w:rFonts w:ascii="Arial Narrow" w:hAnsi="Arial Narrow" w:cstheme="minorHAnsi"/>
          </w:rPr>
          <w:t>písm. b)</w:t>
        </w:r>
      </w:hyperlink>
      <w:r w:rsidRPr="00C06AEC">
        <w:rPr>
          <w:rFonts w:ascii="Arial Narrow" w:hAnsi="Arial Narrow" w:cstheme="minorHAnsi"/>
        </w:rPr>
        <w:t xml:space="preserve"> zákona.</w:t>
      </w:r>
    </w:p>
    <w:p w14:paraId="61C5EE9E" w14:textId="523C209D"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7391970E" w:rsidR="00812F8D" w:rsidRPr="00C17DE0" w:rsidRDefault="00812F8D" w:rsidP="00812F8D">
      <w:pPr>
        <w:autoSpaceDE w:val="0"/>
        <w:autoSpaceDN w:val="0"/>
        <w:adjustRightInd w:val="0"/>
        <w:spacing w:after="0" w:line="240" w:lineRule="auto"/>
        <w:jc w:val="both"/>
        <w:rPr>
          <w:rFonts w:ascii="Arial Narrow" w:hAnsi="Arial Narrow" w:cs="Arial"/>
        </w:rPr>
      </w:pPr>
      <w:bookmarkStart w:id="1"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 xml:space="preserve">t.j. uchádzač môže predbežne nahradiť doklady na preukázanie splnenia podmienok účasti určené verejným obstarávateľom v tomto verejnom obstarávaní jednotným európskym dokumentom podľa prílohy č. </w:t>
      </w:r>
      <w:r w:rsidR="00CE147A">
        <w:rPr>
          <w:rFonts w:ascii="Arial Narrow" w:hAnsi="Arial Narrow" w:cs="Arial"/>
        </w:rPr>
        <w:t>7</w:t>
      </w:r>
      <w:r w:rsidR="006D2BC2">
        <w:rPr>
          <w:rFonts w:ascii="Arial Narrow" w:hAnsi="Arial Narrow" w:cs="Arial"/>
        </w:rPr>
        <w:t>A</w:t>
      </w:r>
      <w:r w:rsidR="00CE147A" w:rsidRPr="00C17DE0">
        <w:rPr>
          <w:rFonts w:ascii="Arial Narrow" w:hAnsi="Arial Narrow" w:cs="Arial"/>
        </w:rPr>
        <w:t xml:space="preserve"> </w:t>
      </w:r>
      <w:r w:rsidRPr="00C17DE0">
        <w:rPr>
          <w:rFonts w:ascii="Arial Narrow" w:hAnsi="Arial Narrow" w:cs="Arial"/>
        </w:rPr>
        <w:t>Formulár Jednotného európskeho dokumentu týchto súťažných podkladov (ďalej aj ako „JED“)</w:t>
      </w:r>
      <w:r w:rsidR="006D2BC2">
        <w:rPr>
          <w:rFonts w:ascii="Arial Narrow" w:hAnsi="Arial Narrow" w:cs="Arial"/>
        </w:rPr>
        <w:t xml:space="preserve"> alebo spôsobom podľa § 114 ods. 1 zákona, </w:t>
      </w:r>
      <w:r w:rsidR="006D2BC2" w:rsidRPr="00C17DE0">
        <w:rPr>
          <w:rFonts w:ascii="Arial Narrow" w:hAnsi="Arial Narrow" w:cs="Arial"/>
        </w:rPr>
        <w:t xml:space="preserve">t.j. uchádzač môže predbežne nahradiť doklady na preukázanie splnenia podmienok účasti určené verejným obstarávateľom v tomto verejnom obstarávaní </w:t>
      </w:r>
      <w:r w:rsidR="006D2BC2">
        <w:rPr>
          <w:rFonts w:ascii="Arial Narrow" w:hAnsi="Arial Narrow" w:cs="Arial"/>
        </w:rPr>
        <w:t>čestným vyhlásením</w:t>
      </w:r>
      <w:r w:rsidR="00B045DF">
        <w:rPr>
          <w:rFonts w:ascii="Arial Narrow" w:hAnsi="Arial Narrow" w:cs="Arial"/>
        </w:rPr>
        <w:t>.</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77777777"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2" w:name="_Hlk530338161"/>
    </w:p>
    <w:p w14:paraId="36E04902" w14:textId="5FD441AD" w:rsidR="00812F8D" w:rsidRPr="00C17DE0" w:rsidRDefault="00812F8D" w:rsidP="00812F8D">
      <w:pPr>
        <w:autoSpaceDE w:val="0"/>
        <w:autoSpaceDN w:val="0"/>
        <w:adjustRightInd w:val="0"/>
        <w:spacing w:after="0" w:line="240" w:lineRule="auto"/>
        <w:jc w:val="both"/>
        <w:rPr>
          <w:rFonts w:ascii="Arial Narrow" w:hAnsi="Arial Narrow" w:cs="Arial"/>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2" w:history="1">
        <w:r w:rsidRPr="00606823">
          <w:rPr>
            <w:rStyle w:val="Hypertextovprepojenie"/>
            <w:rFonts w:ascii="Arial Narrow" w:hAnsi="Arial Narrow" w:cs="Arial"/>
          </w:rPr>
          <w:t>https://www.uvo.gov.sk/legislativametodika-dohlad/jednotny-europsky-dokument-605.html</w:t>
        </w:r>
      </w:hyperlink>
      <w:r>
        <w:rPr>
          <w:rFonts w:ascii="Arial Narrow" w:hAnsi="Arial Narrow" w:cs="Arial"/>
        </w:rPr>
        <w:t xml:space="preserve"> </w:t>
      </w:r>
      <w:r w:rsidRPr="00A23870">
        <w:rPr>
          <w:rFonts w:ascii="Arial Narrow" w:hAnsi="Arial Narrow" w:cs="Arial"/>
        </w:rPr>
        <w:t xml:space="preserve">: </w:t>
      </w:r>
      <w:r w:rsidRPr="00C17DE0">
        <w:rPr>
          <w:rFonts w:ascii="Arial Narrow" w:hAnsi="Arial Narrow" w:cs="Arial"/>
        </w:rPr>
        <w:t xml:space="preserve">JED - príručka k službe ESPD ( </w:t>
      </w:r>
      <w:hyperlink r:id="rId13" w:history="1">
        <w:r w:rsidRPr="00C17DE0">
          <w:rPr>
            <w:rStyle w:val="Hypertextovprepojenie"/>
            <w:rFonts w:ascii="Arial Narrow" w:hAnsi="Arial Narrow"/>
          </w:rPr>
          <w:t>https://www.uvo.gov.sk/extdoc/1445/JED-prirucka_ESPD</w:t>
        </w:r>
      </w:hyperlink>
      <w:r w:rsidRPr="00C17DE0">
        <w:rPr>
          <w:rStyle w:val="Hypertextovprepojenie"/>
          <w:rFonts w:ascii="Arial Narrow" w:hAnsi="Arial Narrow"/>
        </w:rPr>
        <w:t xml:space="preserve"> </w:t>
      </w:r>
      <w:r w:rsidRPr="00C17DE0">
        <w:rPr>
          <w:rFonts w:ascii="Arial Narrow" w:hAnsi="Arial Narrow" w:cs="Arial"/>
        </w:rPr>
        <w:t>).</w:t>
      </w:r>
    </w:p>
    <w:p w14:paraId="555DA33F" w14:textId="77777777"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3" w:name="_Hlk524506959"/>
      <w:bookmarkEnd w:id="1"/>
      <w:bookmarkEnd w:id="2"/>
      <w:r w:rsidRPr="001C124D">
        <w:rPr>
          <w:rFonts w:ascii="Arial Narrow" w:hAnsi="Arial Narrow" w:cs="Arial"/>
          <w:lang w:eastAsia="sk-SK"/>
        </w:rPr>
        <w:t>Vo formulári JED uchádzač vyplní nasledovné časti:</w:t>
      </w:r>
    </w:p>
    <w:bookmarkEnd w:id="3"/>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56DF708A"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504E99">
        <w:rPr>
          <w:rFonts w:ascii="Arial Narrow" w:hAnsi="Arial Narrow" w:cs="Arial"/>
          <w:color w:val="000000"/>
        </w:rPr>
        <w:t xml:space="preserve"> (predmetný oddiel sa vzťahuje  </w:t>
      </w:r>
      <w:r w:rsidR="0077051A">
        <w:rPr>
          <w:rFonts w:ascii="Arial Narrow" w:hAnsi="Arial Narrow" w:cs="Arial"/>
          <w:color w:val="000000"/>
        </w:rPr>
        <w:t xml:space="preserve">k podmienke účasti ohľadne osobného postavenia podľa § 32 ods. 1 písm. e) zákona a </w:t>
      </w:r>
      <w:r w:rsidR="00504E99">
        <w:rPr>
          <w:rFonts w:ascii="Arial Narrow" w:hAnsi="Arial Narrow" w:cs="Arial"/>
          <w:color w:val="000000"/>
        </w:rPr>
        <w:t xml:space="preserve">k podmienkam účasti ohľadne ekonomického postavenia </w:t>
      </w:r>
      <w:r w:rsidR="0077051A">
        <w:rPr>
          <w:rFonts w:ascii="Arial Narrow" w:hAnsi="Arial Narrow" w:cs="Arial"/>
          <w:color w:val="000000"/>
        </w:rPr>
        <w:t>podľa § 33 zákona,</w:t>
      </w:r>
      <w:r w:rsidR="00504E99">
        <w:rPr>
          <w:rFonts w:ascii="Arial Narrow" w:hAnsi="Arial Narrow" w:cs="Arial"/>
          <w:color w:val="000000"/>
        </w:rPr>
        <w:t> technickej spôsobilosti</w:t>
      </w:r>
      <w:r w:rsidR="0077051A">
        <w:rPr>
          <w:rFonts w:ascii="Arial Narrow" w:hAnsi="Arial Narrow" w:cs="Arial"/>
          <w:color w:val="000000"/>
        </w:rPr>
        <w:t xml:space="preserve"> podľa §</w:t>
      </w:r>
      <w:r w:rsidR="004F4F24">
        <w:rPr>
          <w:rFonts w:ascii="Arial Narrow" w:hAnsi="Arial Narrow" w:cs="Arial"/>
          <w:color w:val="000000"/>
        </w:rPr>
        <w:t>§</w:t>
      </w:r>
      <w:r w:rsidR="0077051A">
        <w:rPr>
          <w:rFonts w:ascii="Arial Narrow" w:hAnsi="Arial Narrow" w:cs="Arial"/>
          <w:color w:val="000000"/>
        </w:rPr>
        <w:t xml:space="preserve"> 34 </w:t>
      </w:r>
      <w:r w:rsidR="004F4F24">
        <w:rPr>
          <w:rFonts w:ascii="Arial Narrow" w:hAnsi="Arial Narrow" w:cs="Arial"/>
          <w:color w:val="000000"/>
        </w:rPr>
        <w:t xml:space="preserve">až 36 </w:t>
      </w:r>
      <w:r w:rsidR="0077051A">
        <w:rPr>
          <w:rFonts w:ascii="Arial Narrow" w:hAnsi="Arial Narrow" w:cs="Arial"/>
          <w:color w:val="000000"/>
        </w:rPr>
        <w:t>zákona</w:t>
      </w:r>
      <w:r w:rsidR="00504E99">
        <w:rPr>
          <w:rFonts w:ascii="Arial Narrow" w:hAnsi="Arial Narrow" w:cs="Arial"/>
          <w:color w:val="000000"/>
        </w:rPr>
        <w:t>)</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384943A1" w14:textId="77777777" w:rsidR="00812F8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hyperlink r:id="rId14" w:history="1">
        <w:r w:rsidRPr="00FC7507">
          <w:rPr>
            <w:rStyle w:val="Hypertextovprepojenie"/>
            <w:rFonts w:ascii="Arial Narrow" w:hAnsi="Arial Narrow"/>
          </w:rPr>
          <w:t>https://www.uvo.gov.sk/legislativametodika-dohlad/jednotny-europsky-dokument-605.html</w:t>
        </w:r>
      </w:hyperlink>
      <w:r w:rsidRPr="00FC7507">
        <w:rPr>
          <w:rFonts w:ascii="Arial Narrow" w:hAnsi="Arial Narrow"/>
        </w:rPr>
        <w:t xml:space="preserve">, </w:t>
      </w:r>
      <w:r w:rsidRPr="00887ABD">
        <w:rPr>
          <w:rFonts w:ascii="Arial Narrow" w:hAnsi="Arial Narrow"/>
        </w:rPr>
        <w:t xml:space="preserve">okrem časti I. označenej ako „Informácie týkajúce sa postupu verejného obstarávania a verejného obstarávateľa“ </w:t>
      </w:r>
      <w:r w:rsidRPr="00E7688B">
        <w:rPr>
          <w:rFonts w:ascii="Arial Narrow" w:hAnsi="Arial Narrow"/>
        </w:rPr>
        <w:t>(pokiaľ uchádzač použije JED, ktorý je súčasťou týchto súťažných podkladov).</w:t>
      </w:r>
    </w:p>
    <w:p w14:paraId="6DB4485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391DC919"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w:t>
      </w:r>
      <w:r w:rsidRPr="00887ABD">
        <w:rPr>
          <w:rFonts w:ascii="Arial Narrow" w:hAnsi="Arial Narrow"/>
        </w:rPr>
        <w:lastRenderedPageBreak/>
        <w:t xml:space="preserve">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46B899A6" w14:textId="77777777"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77777777"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sectPr w:rsidR="00812F8D" w:rsidRPr="00887ABD"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B073" w14:textId="77777777" w:rsidR="009A3514" w:rsidRDefault="009A3514" w:rsidP="00B417C0">
      <w:pPr>
        <w:spacing w:after="0" w:line="240" w:lineRule="auto"/>
      </w:pPr>
      <w:r>
        <w:separator/>
      </w:r>
    </w:p>
  </w:endnote>
  <w:endnote w:type="continuationSeparator" w:id="0">
    <w:p w14:paraId="1555AA24" w14:textId="77777777" w:rsidR="009A3514" w:rsidRDefault="009A3514"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1189" w14:textId="77777777" w:rsidR="009A3514" w:rsidRDefault="009A3514" w:rsidP="00B417C0">
      <w:pPr>
        <w:spacing w:after="0" w:line="240" w:lineRule="auto"/>
      </w:pPr>
      <w:r>
        <w:separator/>
      </w:r>
    </w:p>
  </w:footnote>
  <w:footnote w:type="continuationSeparator" w:id="0">
    <w:p w14:paraId="7FEDEDC1" w14:textId="77777777" w:rsidR="009A3514" w:rsidRDefault="009A3514"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4"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56D91"/>
    <w:rsid w:val="00060EB9"/>
    <w:rsid w:val="00070CA5"/>
    <w:rsid w:val="00073B92"/>
    <w:rsid w:val="000B7DC7"/>
    <w:rsid w:val="000F2CF2"/>
    <w:rsid w:val="00101FF6"/>
    <w:rsid w:val="001025A4"/>
    <w:rsid w:val="00111E75"/>
    <w:rsid w:val="00120DEE"/>
    <w:rsid w:val="001422DD"/>
    <w:rsid w:val="00172DBD"/>
    <w:rsid w:val="00172E86"/>
    <w:rsid w:val="00192CC7"/>
    <w:rsid w:val="001A4E2B"/>
    <w:rsid w:val="001B4628"/>
    <w:rsid w:val="00231209"/>
    <w:rsid w:val="0027533A"/>
    <w:rsid w:val="002A2321"/>
    <w:rsid w:val="002C283A"/>
    <w:rsid w:val="002D5C1F"/>
    <w:rsid w:val="002D7656"/>
    <w:rsid w:val="002F220A"/>
    <w:rsid w:val="003269E4"/>
    <w:rsid w:val="003277C1"/>
    <w:rsid w:val="00335557"/>
    <w:rsid w:val="00341448"/>
    <w:rsid w:val="00355B92"/>
    <w:rsid w:val="00356896"/>
    <w:rsid w:val="003659BB"/>
    <w:rsid w:val="00383553"/>
    <w:rsid w:val="00395BDD"/>
    <w:rsid w:val="003C5666"/>
    <w:rsid w:val="003D2353"/>
    <w:rsid w:val="00424C60"/>
    <w:rsid w:val="00443CAE"/>
    <w:rsid w:val="00452873"/>
    <w:rsid w:val="00452B87"/>
    <w:rsid w:val="00452ED7"/>
    <w:rsid w:val="00482354"/>
    <w:rsid w:val="00494C05"/>
    <w:rsid w:val="004A130A"/>
    <w:rsid w:val="004A2EF4"/>
    <w:rsid w:val="004D271F"/>
    <w:rsid w:val="004D7E1D"/>
    <w:rsid w:val="004E10DB"/>
    <w:rsid w:val="004F085D"/>
    <w:rsid w:val="004F1682"/>
    <w:rsid w:val="004F4F24"/>
    <w:rsid w:val="00504E99"/>
    <w:rsid w:val="00521FE6"/>
    <w:rsid w:val="00570AF4"/>
    <w:rsid w:val="005A33F3"/>
    <w:rsid w:val="005B5702"/>
    <w:rsid w:val="00602FFC"/>
    <w:rsid w:val="00652E36"/>
    <w:rsid w:val="006818AD"/>
    <w:rsid w:val="006922F3"/>
    <w:rsid w:val="006D2BC2"/>
    <w:rsid w:val="006D2C5D"/>
    <w:rsid w:val="006E617A"/>
    <w:rsid w:val="00723901"/>
    <w:rsid w:val="00740A91"/>
    <w:rsid w:val="007543C8"/>
    <w:rsid w:val="00761D2E"/>
    <w:rsid w:val="0077051A"/>
    <w:rsid w:val="00783027"/>
    <w:rsid w:val="00786C80"/>
    <w:rsid w:val="0079456B"/>
    <w:rsid w:val="007F58B1"/>
    <w:rsid w:val="00812807"/>
    <w:rsid w:val="00812F8D"/>
    <w:rsid w:val="008A3367"/>
    <w:rsid w:val="008A4C51"/>
    <w:rsid w:val="008A6C02"/>
    <w:rsid w:val="008B1E6D"/>
    <w:rsid w:val="008D4AF4"/>
    <w:rsid w:val="008F3012"/>
    <w:rsid w:val="00900161"/>
    <w:rsid w:val="00906F5E"/>
    <w:rsid w:val="00921DD9"/>
    <w:rsid w:val="00946285"/>
    <w:rsid w:val="009524B9"/>
    <w:rsid w:val="009814E9"/>
    <w:rsid w:val="00981766"/>
    <w:rsid w:val="009A3514"/>
    <w:rsid w:val="009A7D60"/>
    <w:rsid w:val="009C0F04"/>
    <w:rsid w:val="00A0372F"/>
    <w:rsid w:val="00A05F97"/>
    <w:rsid w:val="00A23846"/>
    <w:rsid w:val="00A621D6"/>
    <w:rsid w:val="00A67B08"/>
    <w:rsid w:val="00A73BB8"/>
    <w:rsid w:val="00A7630C"/>
    <w:rsid w:val="00A9576D"/>
    <w:rsid w:val="00AF40F0"/>
    <w:rsid w:val="00B045DF"/>
    <w:rsid w:val="00B05E23"/>
    <w:rsid w:val="00B05F46"/>
    <w:rsid w:val="00B2007D"/>
    <w:rsid w:val="00B417C0"/>
    <w:rsid w:val="00B524CD"/>
    <w:rsid w:val="00BA0192"/>
    <w:rsid w:val="00C06AEC"/>
    <w:rsid w:val="00C270E3"/>
    <w:rsid w:val="00C63859"/>
    <w:rsid w:val="00C732C1"/>
    <w:rsid w:val="00C97737"/>
    <w:rsid w:val="00CA65B0"/>
    <w:rsid w:val="00CC21AD"/>
    <w:rsid w:val="00CD04C7"/>
    <w:rsid w:val="00CE147A"/>
    <w:rsid w:val="00CE37D8"/>
    <w:rsid w:val="00D1269C"/>
    <w:rsid w:val="00DC7372"/>
    <w:rsid w:val="00DE645F"/>
    <w:rsid w:val="00DF5157"/>
    <w:rsid w:val="00E055D0"/>
    <w:rsid w:val="00E06072"/>
    <w:rsid w:val="00E155A7"/>
    <w:rsid w:val="00E638BB"/>
    <w:rsid w:val="00E83526"/>
    <w:rsid w:val="00EE1079"/>
    <w:rsid w:val="00EE45F7"/>
    <w:rsid w:val="00EF04C4"/>
    <w:rsid w:val="00F17053"/>
    <w:rsid w:val="00F20BFD"/>
    <w:rsid w:val="00F51F0E"/>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basedOn w:val="Normlny"/>
    <w:link w:val="OdsekzoznamuChar"/>
    <w:uiPriority w:val="34"/>
    <w:qFormat/>
    <w:rsid w:val="00355B92"/>
    <w:pPr>
      <w:spacing w:after="200" w:line="276" w:lineRule="auto"/>
      <w:ind w:left="720"/>
      <w:contextualSpacing/>
    </w:pPr>
  </w:style>
  <w:style w:type="character" w:customStyle="1" w:styleId="OdsekzoznamuChar">
    <w:name w:val="Odsek zoznamu Char"/>
    <w:link w:val="Odsekzoznamu"/>
    <w:uiPriority w:val="34"/>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hyperlink" Target="https://www.uvo.gov.sk/extdoc/1445/JED-prirucka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10802?ucinnost=31.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3D78-46C5-49DB-9848-E42B70B7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2461</Words>
  <Characters>14031</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Novák Matúš</cp:lastModifiedBy>
  <cp:revision>5</cp:revision>
  <cp:lastPrinted>2024-03-26T09:02:00Z</cp:lastPrinted>
  <dcterms:created xsi:type="dcterms:W3CDTF">2024-02-19T09:22:00Z</dcterms:created>
  <dcterms:modified xsi:type="dcterms:W3CDTF">2025-09-23T13:08:00Z</dcterms:modified>
</cp:coreProperties>
</file>