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33561980"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 xml:space="preserve">Nákup pletív, drôtov, a ostatného pomocného materiálu pre OZ Karpaty - časť „A“ - výzva č. </w:t>
      </w:r>
      <w:r w:rsidR="00B8576C">
        <w:rPr>
          <w:rFonts w:cs="Arial"/>
          <w:szCs w:val="20"/>
          <w:highlight w:val="yellow"/>
        </w:rPr>
        <w:t>1</w:t>
      </w:r>
      <w:r w:rsidR="00946A7D">
        <w:rPr>
          <w:rFonts w:cs="Arial"/>
          <w:szCs w:val="20"/>
          <w:highlight w:val="yellow"/>
        </w:rPr>
        <w:t>3</w:t>
      </w:r>
      <w:r w:rsidR="00AE268C" w:rsidRPr="00AE268C">
        <w:rPr>
          <w:rFonts w:cs="Arial"/>
          <w:szCs w:val="20"/>
          <w:highlight w:val="yellow"/>
        </w:rPr>
        <w:t>/202</w:t>
      </w:r>
      <w:r w:rsidR="005E1E10">
        <w:rPr>
          <w:rFonts w:cs="Arial"/>
          <w:szCs w:val="20"/>
          <w:highlight w:val="yellow"/>
        </w:rPr>
        <w:t>5</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Vrazn"/>
          <w:rFonts w:cs="Arial"/>
          <w:szCs w:val="20"/>
        </w:rPr>
      </w:pPr>
    </w:p>
    <w:p w14:paraId="463E2D9D" w14:textId="77777777" w:rsidR="00E123F4" w:rsidRPr="00EA3DDF" w:rsidRDefault="00E123F4" w:rsidP="00E123F4">
      <w:pPr>
        <w:spacing w:after="0"/>
        <w:rPr>
          <w:rStyle w:val="Vrazn"/>
          <w:rFonts w:cs="Arial"/>
          <w:szCs w:val="20"/>
        </w:rPr>
      </w:pPr>
      <w:r w:rsidRPr="00EA3DDF">
        <w:rPr>
          <w:rStyle w:val="Vraz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178AD5C0" w:rsidR="002B6AE9" w:rsidRPr="00EA3DDF" w:rsidRDefault="002B6AE9" w:rsidP="00B8576C">
            <w:pPr>
              <w:rPr>
                <w:rFonts w:cs="Arial"/>
                <w:szCs w:val="20"/>
              </w:rPr>
            </w:pPr>
            <w:r w:rsidRPr="0073293F">
              <w:t xml:space="preserve">Ing. </w:t>
            </w:r>
            <w:r w:rsidR="007B0A9D">
              <w:t>Radomír Nečas</w:t>
            </w:r>
            <w:r w:rsidRPr="0073293F">
              <w:t xml:space="preserve"> </w:t>
            </w:r>
            <w:r w:rsidR="007B0A9D">
              <w:t>–</w:t>
            </w:r>
            <w:r w:rsidRPr="0073293F">
              <w:t xml:space="preserve"> vedúci OZ</w:t>
            </w:r>
          </w:p>
        </w:tc>
      </w:tr>
      <w:tr w:rsidR="002B6AE9" w:rsidRPr="00EA3DDF" w14:paraId="10307974" w14:textId="77777777" w:rsidTr="003B6164">
        <w:tc>
          <w:tcPr>
            <w:tcW w:w="2410" w:type="dxa"/>
            <w:tcBorders>
              <w:top w:val="nil"/>
              <w:bottom w:val="nil"/>
              <w:right w:val="nil"/>
            </w:tcBorders>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3BE1B0F4" w:rsidR="00E123F4" w:rsidRPr="00B8576C" w:rsidRDefault="00E123F4" w:rsidP="00B8576C">
      <w:pPr>
        <w:pStyle w:val="Odsekzoznamu"/>
        <w:numPr>
          <w:ilvl w:val="0"/>
          <w:numId w:val="97"/>
        </w:numPr>
        <w:rPr>
          <w:rFonts w:cs="Arial"/>
          <w:sz w:val="20"/>
          <w:szCs w:val="20"/>
          <w:lang w:eastAsia="cs-CZ"/>
        </w:rPr>
      </w:pPr>
      <w:r w:rsidRPr="00B8576C">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B8576C" w:rsidRPr="00B8576C">
        <w:rPr>
          <w:rFonts w:cs="Arial"/>
          <w:sz w:val="20"/>
          <w:szCs w:val="20"/>
          <w:lang w:eastAsia="cs-CZ"/>
        </w:rPr>
        <w:t xml:space="preserve">Nákup pletív, drôtov, klincov a ostatného pomocného materiálu na obdobie 48 mesiacov, / </w:t>
      </w:r>
      <w:r w:rsidR="00B8576C" w:rsidRPr="00B8576C">
        <w:rPr>
          <w:rFonts w:cs="Arial"/>
          <w:sz w:val="20"/>
          <w:szCs w:val="20"/>
          <w:highlight w:val="yellow"/>
          <w:lang w:eastAsia="cs-CZ"/>
        </w:rPr>
        <w:t>Nákup pletív, drôtov, a ostatného pomocného materiálu pre OZ Karpaty - časť „A“ - výzva č. 1</w:t>
      </w:r>
      <w:r w:rsidR="00946A7D">
        <w:rPr>
          <w:rFonts w:cs="Arial"/>
          <w:sz w:val="20"/>
          <w:szCs w:val="20"/>
          <w:highlight w:val="yellow"/>
          <w:lang w:eastAsia="cs-CZ"/>
        </w:rPr>
        <w:t>3</w:t>
      </w:r>
      <w:r w:rsidR="00B8576C" w:rsidRPr="00B8576C">
        <w:rPr>
          <w:rFonts w:cs="Arial"/>
          <w:sz w:val="20"/>
          <w:szCs w:val="20"/>
          <w:highlight w:val="yellow"/>
          <w:lang w:eastAsia="cs-CZ"/>
        </w:rPr>
        <w:t>/202</w:t>
      </w:r>
      <w:r w:rsidR="005E1E10">
        <w:rPr>
          <w:rFonts w:cs="Arial"/>
          <w:sz w:val="20"/>
          <w:szCs w:val="20"/>
          <w:highlight w:val="yellow"/>
          <w:lang w:eastAsia="cs-CZ"/>
        </w:rPr>
        <w:t>5</w:t>
      </w:r>
      <w:r w:rsidR="00B8576C" w:rsidRPr="00B8576C">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76582086"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2017">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875"/>
        <w:gridCol w:w="2095"/>
        <w:gridCol w:w="993"/>
        <w:gridCol w:w="1614"/>
        <w:gridCol w:w="1278"/>
        <w:gridCol w:w="740"/>
        <w:gridCol w:w="1477"/>
      </w:tblGrid>
      <w:tr w:rsidR="00946A7D" w14:paraId="39406BD4" w14:textId="77777777">
        <w:trPr>
          <w:trHeight w:val="600"/>
        </w:trPr>
        <w:tc>
          <w:tcPr>
            <w:tcW w:w="0" w:type="auto"/>
            <w:gridSpan w:val="6"/>
            <w:tcBorders>
              <w:top w:val="nil"/>
              <w:left w:val="nil"/>
              <w:bottom w:val="single" w:sz="8" w:space="0" w:color="000000"/>
              <w:right w:val="nil"/>
            </w:tcBorders>
            <w:hideMark/>
          </w:tcPr>
          <w:p w14:paraId="5DBF7B49" w14:textId="77777777" w:rsidR="00946A7D" w:rsidRDefault="00946A7D">
            <w:pPr>
              <w:spacing w:after="0"/>
              <w:jc w:val="center"/>
              <w:rPr>
                <w:rFonts w:ascii="Calibri" w:hAnsi="Calibri" w:cs="Calibri"/>
                <w:b/>
                <w:bCs/>
                <w:color w:val="000000"/>
                <w:sz w:val="28"/>
                <w:szCs w:val="28"/>
              </w:rPr>
            </w:pPr>
            <w:bookmarkStart w:id="0" w:name="RANGE!A1:G14"/>
            <w:r>
              <w:rPr>
                <w:rFonts w:ascii="Calibri" w:hAnsi="Calibri" w:cs="Calibri"/>
                <w:b/>
                <w:bCs/>
                <w:color w:val="000000"/>
                <w:sz w:val="28"/>
                <w:szCs w:val="28"/>
              </w:rPr>
              <w:t>Príloha č. 2: Podrobný rozpočet položiek</w:t>
            </w:r>
            <w:bookmarkEnd w:id="0"/>
          </w:p>
        </w:tc>
        <w:tc>
          <w:tcPr>
            <w:tcW w:w="0" w:type="auto"/>
            <w:hideMark/>
          </w:tcPr>
          <w:p w14:paraId="15E97BD6" w14:textId="77777777" w:rsidR="00946A7D" w:rsidRDefault="00946A7D">
            <w:pPr>
              <w:rPr>
                <w:rFonts w:ascii="Calibri" w:hAnsi="Calibri" w:cs="Calibri"/>
                <w:b/>
                <w:bCs/>
                <w:color w:val="000000"/>
                <w:sz w:val="28"/>
                <w:szCs w:val="28"/>
              </w:rPr>
            </w:pPr>
          </w:p>
        </w:tc>
      </w:tr>
      <w:tr w:rsidR="00946A7D" w14:paraId="277DAC90" w14:textId="77777777">
        <w:trPr>
          <w:trHeight w:val="1500"/>
        </w:trPr>
        <w:tc>
          <w:tcPr>
            <w:tcW w:w="0" w:type="auto"/>
            <w:tcBorders>
              <w:top w:val="nil"/>
              <w:left w:val="single" w:sz="8" w:space="0" w:color="000000"/>
              <w:bottom w:val="single" w:sz="4" w:space="0" w:color="000000"/>
              <w:right w:val="single" w:sz="4" w:space="0" w:color="000000"/>
            </w:tcBorders>
            <w:shd w:val="clear" w:color="auto" w:fill="FFFFFF"/>
            <w:vAlign w:val="center"/>
            <w:hideMark/>
          </w:tcPr>
          <w:p w14:paraId="7775687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číslo položky</w:t>
            </w:r>
          </w:p>
        </w:tc>
        <w:tc>
          <w:tcPr>
            <w:tcW w:w="0" w:type="auto"/>
            <w:tcBorders>
              <w:top w:val="nil"/>
              <w:left w:val="nil"/>
              <w:bottom w:val="single" w:sz="4" w:space="0" w:color="000000"/>
              <w:right w:val="single" w:sz="4" w:space="0" w:color="000000"/>
            </w:tcBorders>
            <w:vAlign w:val="center"/>
            <w:hideMark/>
          </w:tcPr>
          <w:p w14:paraId="6E36D116"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popis položky</w:t>
            </w:r>
          </w:p>
        </w:tc>
        <w:tc>
          <w:tcPr>
            <w:tcW w:w="0" w:type="auto"/>
            <w:tcBorders>
              <w:top w:val="nil"/>
              <w:left w:val="nil"/>
              <w:bottom w:val="single" w:sz="4" w:space="0" w:color="000000"/>
              <w:right w:val="single" w:sz="4" w:space="0" w:color="000000"/>
            </w:tcBorders>
            <w:vAlign w:val="center"/>
            <w:hideMark/>
          </w:tcPr>
          <w:p w14:paraId="48002A0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merná jednotka</w:t>
            </w:r>
          </w:p>
        </w:tc>
        <w:tc>
          <w:tcPr>
            <w:tcW w:w="0" w:type="auto"/>
            <w:tcBorders>
              <w:top w:val="nil"/>
              <w:left w:val="nil"/>
              <w:bottom w:val="single" w:sz="4" w:space="0" w:color="000000"/>
              <w:right w:val="single" w:sz="4" w:space="0" w:color="000000"/>
            </w:tcBorders>
            <w:vAlign w:val="center"/>
            <w:hideMark/>
          </w:tcPr>
          <w:p w14:paraId="495A5F09"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predpokladaný počet jednotiek</w:t>
            </w:r>
          </w:p>
        </w:tc>
        <w:tc>
          <w:tcPr>
            <w:tcW w:w="0" w:type="auto"/>
            <w:tcBorders>
              <w:top w:val="nil"/>
              <w:left w:val="nil"/>
              <w:bottom w:val="single" w:sz="4" w:space="0" w:color="000000"/>
              <w:right w:val="single" w:sz="4" w:space="0" w:color="000000"/>
            </w:tcBorders>
            <w:shd w:val="clear" w:color="auto" w:fill="FFFFFF"/>
            <w:vAlign w:val="center"/>
            <w:hideMark/>
          </w:tcPr>
          <w:p w14:paraId="2AFCB117"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jednotková cena v € bez DPH</w:t>
            </w:r>
          </w:p>
        </w:tc>
        <w:tc>
          <w:tcPr>
            <w:tcW w:w="0" w:type="auto"/>
            <w:tcBorders>
              <w:top w:val="nil"/>
              <w:left w:val="nil"/>
              <w:bottom w:val="single" w:sz="4" w:space="0" w:color="000000"/>
              <w:right w:val="nil"/>
            </w:tcBorders>
            <w:shd w:val="clear" w:color="auto" w:fill="FFFFFF"/>
            <w:vAlign w:val="center"/>
            <w:hideMark/>
          </w:tcPr>
          <w:p w14:paraId="3B228A82"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cena spolu v € bez DPH</w:t>
            </w:r>
          </w:p>
        </w:tc>
        <w:tc>
          <w:tcPr>
            <w:tcW w:w="0" w:type="auto"/>
            <w:tcBorders>
              <w:top w:val="single" w:sz="4" w:space="0" w:color="000000"/>
              <w:left w:val="single" w:sz="4" w:space="0" w:color="000000"/>
              <w:bottom w:val="single" w:sz="4" w:space="0" w:color="000000"/>
              <w:right w:val="single" w:sz="8" w:space="0" w:color="000000"/>
            </w:tcBorders>
            <w:shd w:val="clear" w:color="auto" w:fill="FFFFFF"/>
            <w:vAlign w:val="center"/>
            <w:hideMark/>
          </w:tcPr>
          <w:p w14:paraId="37287E2F" w14:textId="77777777" w:rsidR="00946A7D" w:rsidRDefault="00946A7D">
            <w:pPr>
              <w:spacing w:after="0"/>
              <w:jc w:val="center"/>
              <w:rPr>
                <w:rFonts w:ascii="Calibri" w:hAnsi="Calibri" w:cs="Calibri"/>
                <w:b/>
                <w:bCs/>
                <w:color w:val="000000"/>
                <w:sz w:val="22"/>
                <w:szCs w:val="22"/>
              </w:rPr>
            </w:pPr>
            <w:r>
              <w:rPr>
                <w:rFonts w:ascii="Calibri" w:hAnsi="Calibri" w:cs="Calibri"/>
                <w:b/>
                <w:bCs/>
                <w:color w:val="000000"/>
                <w:sz w:val="22"/>
                <w:szCs w:val="22"/>
              </w:rPr>
              <w:t>Miesto dodania</w:t>
            </w:r>
          </w:p>
        </w:tc>
      </w:tr>
      <w:tr w:rsidR="00946A7D" w14:paraId="259E714B" w14:textId="77777777">
        <w:trPr>
          <w:trHeight w:val="915"/>
        </w:trPr>
        <w:tc>
          <w:tcPr>
            <w:tcW w:w="0" w:type="auto"/>
            <w:tcBorders>
              <w:top w:val="nil"/>
              <w:left w:val="single" w:sz="8" w:space="0" w:color="000000"/>
              <w:bottom w:val="single" w:sz="8" w:space="0" w:color="000000"/>
              <w:right w:val="single" w:sz="8" w:space="0" w:color="000000"/>
            </w:tcBorders>
            <w:vAlign w:val="center"/>
            <w:hideMark/>
          </w:tcPr>
          <w:p w14:paraId="1B51E1D6"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52</w:t>
            </w:r>
          </w:p>
        </w:tc>
        <w:tc>
          <w:tcPr>
            <w:tcW w:w="0" w:type="auto"/>
            <w:tcBorders>
              <w:top w:val="nil"/>
              <w:left w:val="nil"/>
              <w:bottom w:val="single" w:sz="8" w:space="0" w:color="000000"/>
              <w:right w:val="single" w:sz="8" w:space="0" w:color="000000"/>
            </w:tcBorders>
            <w:vAlign w:val="center"/>
            <w:hideMark/>
          </w:tcPr>
          <w:p w14:paraId="2F519A32"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Drôt pozinkovaný, </w:t>
            </w:r>
            <w:proofErr w:type="spellStart"/>
            <w:r>
              <w:rPr>
                <w:rFonts w:ascii="Calibri" w:hAnsi="Calibri" w:cs="Calibri"/>
                <w:color w:val="000000"/>
                <w:sz w:val="22"/>
                <w:szCs w:val="22"/>
              </w:rPr>
              <w:t>pr</w:t>
            </w:r>
            <w:proofErr w:type="spellEnd"/>
            <w:r>
              <w:rPr>
                <w:rFonts w:ascii="Calibri" w:hAnsi="Calibri" w:cs="Calibri"/>
                <w:color w:val="000000"/>
                <w:sz w:val="22"/>
                <w:szCs w:val="22"/>
              </w:rPr>
              <w:t>. 3,1 mm</w:t>
            </w:r>
          </w:p>
        </w:tc>
        <w:tc>
          <w:tcPr>
            <w:tcW w:w="0" w:type="auto"/>
            <w:tcBorders>
              <w:top w:val="nil"/>
              <w:left w:val="nil"/>
              <w:bottom w:val="single" w:sz="8" w:space="0" w:color="000000"/>
              <w:right w:val="single" w:sz="8" w:space="0" w:color="000000"/>
            </w:tcBorders>
            <w:vAlign w:val="center"/>
            <w:hideMark/>
          </w:tcPr>
          <w:p w14:paraId="689546A1"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kg</w:t>
            </w:r>
          </w:p>
        </w:tc>
        <w:tc>
          <w:tcPr>
            <w:tcW w:w="0" w:type="auto"/>
            <w:tcBorders>
              <w:top w:val="nil"/>
              <w:left w:val="nil"/>
              <w:bottom w:val="single" w:sz="8" w:space="0" w:color="000000"/>
              <w:right w:val="single" w:sz="8" w:space="0" w:color="000000"/>
            </w:tcBorders>
            <w:vAlign w:val="center"/>
            <w:hideMark/>
          </w:tcPr>
          <w:p w14:paraId="41C37FDB"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55</w:t>
            </w:r>
          </w:p>
        </w:tc>
        <w:tc>
          <w:tcPr>
            <w:tcW w:w="0" w:type="auto"/>
            <w:tcBorders>
              <w:top w:val="nil"/>
              <w:left w:val="nil"/>
              <w:bottom w:val="single" w:sz="8" w:space="0" w:color="000000"/>
              <w:right w:val="single" w:sz="8" w:space="0" w:color="000000"/>
            </w:tcBorders>
            <w:shd w:val="clear" w:color="auto" w:fill="FFFF00"/>
            <w:vAlign w:val="center"/>
            <w:hideMark/>
          </w:tcPr>
          <w:p w14:paraId="040CC79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79515C7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415644E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Lesná správa Bratislava, Železničná 6, 900 55 Lozorno</w:t>
            </w:r>
          </w:p>
        </w:tc>
      </w:tr>
      <w:tr w:rsidR="00946A7D" w14:paraId="10A2FDD2"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4A6D0B22"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5450FCBB"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0" w:type="auto"/>
            <w:tcBorders>
              <w:top w:val="nil"/>
              <w:left w:val="nil"/>
              <w:bottom w:val="single" w:sz="8" w:space="0" w:color="000000"/>
              <w:right w:val="single" w:sz="8" w:space="0" w:color="000000"/>
            </w:tcBorders>
            <w:vAlign w:val="center"/>
            <w:hideMark/>
          </w:tcPr>
          <w:p w14:paraId="41FC628F"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A5DCC83"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10000</w:t>
            </w:r>
          </w:p>
        </w:tc>
        <w:tc>
          <w:tcPr>
            <w:tcW w:w="0" w:type="auto"/>
            <w:tcBorders>
              <w:top w:val="nil"/>
              <w:left w:val="nil"/>
              <w:bottom w:val="single" w:sz="8" w:space="0" w:color="000000"/>
              <w:right w:val="single" w:sz="8" w:space="0" w:color="000000"/>
            </w:tcBorders>
            <w:shd w:val="clear" w:color="auto" w:fill="FFFF00"/>
            <w:vAlign w:val="center"/>
            <w:hideMark/>
          </w:tcPr>
          <w:p w14:paraId="4B7B78C8"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5AD57D87"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4B3D7AF6"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LS </w:t>
            </w:r>
            <w:proofErr w:type="spellStart"/>
            <w:r>
              <w:rPr>
                <w:rFonts w:ascii="Calibri" w:hAnsi="Calibri" w:cs="Calibri"/>
                <w:color w:val="000000"/>
                <w:sz w:val="22"/>
                <w:szCs w:val="22"/>
              </w:rPr>
              <w:t>Majdán</w:t>
            </w:r>
            <w:proofErr w:type="spellEnd"/>
            <w:r>
              <w:rPr>
                <w:rFonts w:ascii="Calibri" w:hAnsi="Calibri" w:cs="Calibri"/>
                <w:color w:val="000000"/>
                <w:sz w:val="22"/>
                <w:szCs w:val="22"/>
              </w:rPr>
              <w:t xml:space="preserve">, 919 03 Horné Orešany,  </w:t>
            </w:r>
            <w:proofErr w:type="spellStart"/>
            <w:r>
              <w:rPr>
                <w:rFonts w:ascii="Calibri" w:hAnsi="Calibri" w:cs="Calibri"/>
                <w:color w:val="000000"/>
                <w:sz w:val="22"/>
                <w:szCs w:val="22"/>
              </w:rPr>
              <w:t>Majdán</w:t>
            </w:r>
            <w:proofErr w:type="spellEnd"/>
          </w:p>
        </w:tc>
      </w:tr>
      <w:tr w:rsidR="00946A7D" w14:paraId="1B9CD57D"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57F01B95"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104</w:t>
            </w:r>
          </w:p>
        </w:tc>
        <w:tc>
          <w:tcPr>
            <w:tcW w:w="0" w:type="auto"/>
            <w:tcBorders>
              <w:top w:val="nil"/>
              <w:left w:val="nil"/>
              <w:bottom w:val="single" w:sz="8" w:space="0" w:color="000000"/>
              <w:right w:val="single" w:sz="8" w:space="0" w:color="000000"/>
            </w:tcBorders>
            <w:vAlign w:val="center"/>
            <w:hideMark/>
          </w:tcPr>
          <w:p w14:paraId="315F091C"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220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20 horizontálnych drôtov</w:t>
            </w:r>
          </w:p>
        </w:tc>
        <w:tc>
          <w:tcPr>
            <w:tcW w:w="0" w:type="auto"/>
            <w:tcBorders>
              <w:top w:val="nil"/>
              <w:left w:val="nil"/>
              <w:bottom w:val="single" w:sz="8" w:space="0" w:color="000000"/>
              <w:right w:val="single" w:sz="8" w:space="0" w:color="000000"/>
            </w:tcBorders>
            <w:vAlign w:val="center"/>
            <w:hideMark/>
          </w:tcPr>
          <w:p w14:paraId="25ED32D1"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7C345E2"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3 350</w:t>
            </w:r>
          </w:p>
        </w:tc>
        <w:tc>
          <w:tcPr>
            <w:tcW w:w="0" w:type="auto"/>
            <w:tcBorders>
              <w:top w:val="nil"/>
              <w:left w:val="nil"/>
              <w:bottom w:val="single" w:sz="8" w:space="0" w:color="000000"/>
              <w:right w:val="single" w:sz="8" w:space="0" w:color="000000"/>
            </w:tcBorders>
            <w:shd w:val="clear" w:color="auto" w:fill="FFFF00"/>
            <w:vAlign w:val="center"/>
            <w:hideMark/>
          </w:tcPr>
          <w:p w14:paraId="395CAD4B"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3370E6F2"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D589D72"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Lesná správa Dechtice, Dechtice 326, 919 53 Dechtice</w:t>
            </w:r>
          </w:p>
        </w:tc>
      </w:tr>
      <w:tr w:rsidR="00946A7D" w14:paraId="42723B1C"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6AB6E34A"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lastRenderedPageBreak/>
              <w:t>100</w:t>
            </w:r>
          </w:p>
        </w:tc>
        <w:tc>
          <w:tcPr>
            <w:tcW w:w="0" w:type="auto"/>
            <w:tcBorders>
              <w:top w:val="nil"/>
              <w:left w:val="nil"/>
              <w:bottom w:val="single" w:sz="8" w:space="0" w:color="000000"/>
              <w:right w:val="single" w:sz="8" w:space="0" w:color="000000"/>
            </w:tcBorders>
            <w:vAlign w:val="center"/>
            <w:hideMark/>
          </w:tcPr>
          <w:p w14:paraId="053A87A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31727ECA"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1076C78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auto" w:fill="FFFF00"/>
            <w:vAlign w:val="center"/>
            <w:hideMark/>
          </w:tcPr>
          <w:p w14:paraId="37D24098"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1804CEE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vAlign w:val="center"/>
            <w:hideMark/>
          </w:tcPr>
          <w:p w14:paraId="0B832D6C"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Lesná správa Šaštín,  908 41 Šaštín Stráže</w:t>
            </w:r>
          </w:p>
        </w:tc>
      </w:tr>
      <w:tr w:rsidR="00946A7D" w14:paraId="67B21DBB"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335287D3"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00317DA7"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05AE1489"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2568D56"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9 600</w:t>
            </w:r>
          </w:p>
        </w:tc>
        <w:tc>
          <w:tcPr>
            <w:tcW w:w="0" w:type="auto"/>
            <w:tcBorders>
              <w:top w:val="nil"/>
              <w:left w:val="nil"/>
              <w:bottom w:val="single" w:sz="8" w:space="0" w:color="000000"/>
              <w:right w:val="single" w:sz="8" w:space="0" w:color="000000"/>
            </w:tcBorders>
            <w:shd w:val="clear" w:color="auto" w:fill="FFFF00"/>
            <w:vAlign w:val="center"/>
            <w:hideMark/>
          </w:tcPr>
          <w:p w14:paraId="4D78DB9E"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308E18FB"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5661241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Lesná správa Bratislava, Železničná 6, 900 55 Lozorno </w:t>
            </w:r>
          </w:p>
        </w:tc>
      </w:tr>
      <w:tr w:rsidR="00946A7D" w14:paraId="3BE53D32"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372B828C"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B3C191E"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6B9C48B8"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659EBD38"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1 000</w:t>
            </w:r>
          </w:p>
        </w:tc>
        <w:tc>
          <w:tcPr>
            <w:tcW w:w="0" w:type="auto"/>
            <w:tcBorders>
              <w:top w:val="nil"/>
              <w:left w:val="nil"/>
              <w:bottom w:val="single" w:sz="8" w:space="0" w:color="000000"/>
              <w:right w:val="single" w:sz="8" w:space="0" w:color="000000"/>
            </w:tcBorders>
            <w:shd w:val="clear" w:color="auto" w:fill="FFFF00"/>
            <w:vAlign w:val="center"/>
            <w:hideMark/>
          </w:tcPr>
          <w:p w14:paraId="15CDE94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177B4421"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6EF158B6"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Lesná správa Moravany,  </w:t>
            </w:r>
            <w:proofErr w:type="spellStart"/>
            <w:r>
              <w:rPr>
                <w:rFonts w:ascii="Calibri" w:hAnsi="Calibri" w:cs="Calibri"/>
                <w:color w:val="000000"/>
                <w:sz w:val="22"/>
                <w:szCs w:val="22"/>
              </w:rPr>
              <w:t>Kostolecká</w:t>
            </w:r>
            <w:proofErr w:type="spellEnd"/>
            <w:r>
              <w:rPr>
                <w:rFonts w:ascii="Calibri" w:hAnsi="Calibri" w:cs="Calibri"/>
                <w:color w:val="000000"/>
                <w:sz w:val="22"/>
                <w:szCs w:val="22"/>
              </w:rPr>
              <w:t xml:space="preserve"> 127, 922 21 Moravany n/Váhom</w:t>
            </w:r>
          </w:p>
        </w:tc>
      </w:tr>
      <w:tr w:rsidR="00946A7D" w14:paraId="344F2753"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64698366"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3EE2D0E6"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1E74D02A"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02628F1D"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6 000</w:t>
            </w:r>
          </w:p>
        </w:tc>
        <w:tc>
          <w:tcPr>
            <w:tcW w:w="0" w:type="auto"/>
            <w:tcBorders>
              <w:top w:val="nil"/>
              <w:left w:val="nil"/>
              <w:bottom w:val="single" w:sz="8" w:space="0" w:color="000000"/>
              <w:right w:val="single" w:sz="8" w:space="0" w:color="000000"/>
            </w:tcBorders>
            <w:shd w:val="clear" w:color="auto" w:fill="FFFF00"/>
            <w:vAlign w:val="center"/>
            <w:hideMark/>
          </w:tcPr>
          <w:p w14:paraId="1A18F353"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A3B7BF0"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670E8D49"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LS Pezinok, 902 01 Pezinok, Moyzesova 17</w:t>
            </w:r>
          </w:p>
        </w:tc>
      </w:tr>
      <w:tr w:rsidR="00946A7D" w14:paraId="7BBC603D"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5BA47404"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4F03A7A0"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drôtu 2,2/3,1, 19 horizontálnych drôtov</w:t>
            </w:r>
          </w:p>
        </w:tc>
        <w:tc>
          <w:tcPr>
            <w:tcW w:w="0" w:type="auto"/>
            <w:tcBorders>
              <w:top w:val="nil"/>
              <w:left w:val="nil"/>
              <w:bottom w:val="single" w:sz="8" w:space="0" w:color="000000"/>
              <w:right w:val="single" w:sz="8" w:space="0" w:color="000000"/>
            </w:tcBorders>
            <w:vAlign w:val="center"/>
            <w:hideMark/>
          </w:tcPr>
          <w:p w14:paraId="5A428DB9"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t>bm</w:t>
            </w:r>
            <w:proofErr w:type="spellEnd"/>
          </w:p>
        </w:tc>
        <w:tc>
          <w:tcPr>
            <w:tcW w:w="0" w:type="auto"/>
            <w:tcBorders>
              <w:top w:val="nil"/>
              <w:left w:val="nil"/>
              <w:bottom w:val="single" w:sz="8" w:space="0" w:color="000000"/>
              <w:right w:val="single" w:sz="8" w:space="0" w:color="000000"/>
            </w:tcBorders>
            <w:vAlign w:val="center"/>
            <w:hideMark/>
          </w:tcPr>
          <w:p w14:paraId="4643E1ED"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5 000</w:t>
            </w:r>
          </w:p>
        </w:tc>
        <w:tc>
          <w:tcPr>
            <w:tcW w:w="0" w:type="auto"/>
            <w:tcBorders>
              <w:top w:val="nil"/>
              <w:left w:val="nil"/>
              <w:bottom w:val="single" w:sz="8" w:space="0" w:color="000000"/>
              <w:right w:val="single" w:sz="8" w:space="0" w:color="000000"/>
            </w:tcBorders>
            <w:shd w:val="clear" w:color="auto" w:fill="FFFF00"/>
            <w:vAlign w:val="center"/>
            <w:hideMark/>
          </w:tcPr>
          <w:p w14:paraId="353F1445"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4FF9665E"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DD9130B"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LS Pezinok, Červený Kameň 2, 900 89 Píla</w:t>
            </w:r>
          </w:p>
        </w:tc>
      </w:tr>
      <w:tr w:rsidR="00946A7D" w14:paraId="76EC831B" w14:textId="77777777">
        <w:trPr>
          <w:trHeight w:val="1215"/>
        </w:trPr>
        <w:tc>
          <w:tcPr>
            <w:tcW w:w="0" w:type="auto"/>
            <w:tcBorders>
              <w:top w:val="nil"/>
              <w:left w:val="single" w:sz="8" w:space="0" w:color="000000"/>
              <w:bottom w:val="single" w:sz="8" w:space="0" w:color="000000"/>
              <w:right w:val="single" w:sz="8" w:space="0" w:color="000000"/>
            </w:tcBorders>
            <w:vAlign w:val="center"/>
            <w:hideMark/>
          </w:tcPr>
          <w:p w14:paraId="04C4FCCC" w14:textId="77777777" w:rsidR="00946A7D" w:rsidRDefault="00946A7D">
            <w:pPr>
              <w:spacing w:after="0"/>
              <w:jc w:val="center"/>
              <w:rPr>
                <w:rFonts w:ascii="Calibri" w:hAnsi="Calibri" w:cs="Calibri"/>
                <w:color w:val="000000"/>
                <w:sz w:val="22"/>
                <w:szCs w:val="22"/>
              </w:rPr>
            </w:pPr>
            <w:r>
              <w:rPr>
                <w:rFonts w:ascii="Calibri" w:hAnsi="Calibri" w:cs="Calibri"/>
                <w:color w:val="000000"/>
                <w:sz w:val="22"/>
                <w:szCs w:val="22"/>
              </w:rPr>
              <w:t>100</w:t>
            </w:r>
          </w:p>
        </w:tc>
        <w:tc>
          <w:tcPr>
            <w:tcW w:w="0" w:type="auto"/>
            <w:tcBorders>
              <w:top w:val="nil"/>
              <w:left w:val="nil"/>
              <w:bottom w:val="single" w:sz="8" w:space="0" w:color="000000"/>
              <w:right w:val="single" w:sz="8" w:space="0" w:color="000000"/>
            </w:tcBorders>
            <w:vAlign w:val="center"/>
            <w:hideMark/>
          </w:tcPr>
          <w:p w14:paraId="1422E2AC"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xml:space="preserve">Uzlové lesnícke pletivo pozinkovaná, výška 200 cm, pevnosť od 450 do 550 MPa, </w:t>
            </w:r>
            <w:proofErr w:type="spellStart"/>
            <w:r>
              <w:rPr>
                <w:rFonts w:ascii="Calibri" w:hAnsi="Calibri" w:cs="Calibri"/>
                <w:color w:val="000000"/>
                <w:sz w:val="22"/>
                <w:szCs w:val="22"/>
              </w:rPr>
              <w:t>pr</w:t>
            </w:r>
            <w:proofErr w:type="spellEnd"/>
            <w:r>
              <w:rPr>
                <w:rFonts w:ascii="Calibri" w:hAnsi="Calibri" w:cs="Calibri"/>
                <w:color w:val="000000"/>
                <w:sz w:val="22"/>
                <w:szCs w:val="22"/>
              </w:rPr>
              <w:t xml:space="preserve">. drôtu 2,2/3,1, 19 </w:t>
            </w:r>
            <w:r>
              <w:rPr>
                <w:rFonts w:ascii="Calibri" w:hAnsi="Calibri" w:cs="Calibri"/>
                <w:color w:val="000000"/>
                <w:sz w:val="22"/>
                <w:szCs w:val="22"/>
              </w:rPr>
              <w:lastRenderedPageBreak/>
              <w:t>horizontálnych drôtov</w:t>
            </w:r>
          </w:p>
        </w:tc>
        <w:tc>
          <w:tcPr>
            <w:tcW w:w="0" w:type="auto"/>
            <w:tcBorders>
              <w:top w:val="nil"/>
              <w:left w:val="nil"/>
              <w:bottom w:val="single" w:sz="8" w:space="0" w:color="000000"/>
              <w:right w:val="single" w:sz="8" w:space="0" w:color="000000"/>
            </w:tcBorders>
            <w:vAlign w:val="center"/>
            <w:hideMark/>
          </w:tcPr>
          <w:p w14:paraId="195E9BAE" w14:textId="77777777" w:rsidR="00946A7D" w:rsidRDefault="00946A7D">
            <w:pPr>
              <w:spacing w:after="0"/>
              <w:rPr>
                <w:rFonts w:ascii="Calibri" w:hAnsi="Calibri" w:cs="Calibri"/>
                <w:color w:val="000000"/>
                <w:sz w:val="22"/>
                <w:szCs w:val="22"/>
              </w:rPr>
            </w:pPr>
            <w:proofErr w:type="spellStart"/>
            <w:r>
              <w:rPr>
                <w:rFonts w:ascii="Calibri" w:hAnsi="Calibri" w:cs="Calibri"/>
                <w:color w:val="000000"/>
                <w:sz w:val="22"/>
                <w:szCs w:val="22"/>
              </w:rPr>
              <w:lastRenderedPageBreak/>
              <w:t>bm</w:t>
            </w:r>
            <w:proofErr w:type="spellEnd"/>
          </w:p>
        </w:tc>
        <w:tc>
          <w:tcPr>
            <w:tcW w:w="0" w:type="auto"/>
            <w:tcBorders>
              <w:top w:val="nil"/>
              <w:left w:val="nil"/>
              <w:bottom w:val="single" w:sz="8" w:space="0" w:color="000000"/>
              <w:right w:val="single" w:sz="8" w:space="0" w:color="000000"/>
            </w:tcBorders>
            <w:vAlign w:val="center"/>
            <w:hideMark/>
          </w:tcPr>
          <w:p w14:paraId="5D8728B8"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2 500</w:t>
            </w:r>
          </w:p>
        </w:tc>
        <w:tc>
          <w:tcPr>
            <w:tcW w:w="0" w:type="auto"/>
            <w:tcBorders>
              <w:top w:val="nil"/>
              <w:left w:val="nil"/>
              <w:bottom w:val="single" w:sz="8" w:space="0" w:color="000000"/>
              <w:right w:val="single" w:sz="8" w:space="0" w:color="000000"/>
            </w:tcBorders>
            <w:shd w:val="clear" w:color="auto" w:fill="FFFF00"/>
            <w:vAlign w:val="center"/>
            <w:hideMark/>
          </w:tcPr>
          <w:p w14:paraId="2531F1C3"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8" w:space="0" w:color="000000"/>
              <w:right w:val="nil"/>
            </w:tcBorders>
            <w:shd w:val="clear" w:color="auto" w:fill="FFFFFF"/>
            <w:vAlign w:val="center"/>
            <w:hideMark/>
          </w:tcPr>
          <w:p w14:paraId="0814944B" w14:textId="77777777" w:rsidR="00946A7D" w:rsidRDefault="00946A7D">
            <w:pPr>
              <w:spacing w:after="0"/>
              <w:jc w:val="right"/>
              <w:rPr>
                <w:rFonts w:ascii="Calibri" w:hAnsi="Calibri" w:cs="Calibri"/>
                <w:color w:val="000000"/>
                <w:sz w:val="22"/>
                <w:szCs w:val="22"/>
              </w:rPr>
            </w:pPr>
            <w:r>
              <w:rPr>
                <w:rFonts w:ascii="Calibri" w:hAnsi="Calibri" w:cs="Calibri"/>
                <w:color w:val="000000"/>
                <w:sz w:val="22"/>
                <w:szCs w:val="22"/>
              </w:rPr>
              <w:t>0</w:t>
            </w: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889BB8B" w14:textId="77777777" w:rsidR="00946A7D" w:rsidRDefault="00946A7D">
            <w:pPr>
              <w:spacing w:after="0"/>
              <w:rPr>
                <w:rFonts w:ascii="Calibri" w:hAnsi="Calibri" w:cs="Calibri"/>
                <w:color w:val="000000"/>
                <w:sz w:val="22"/>
                <w:szCs w:val="22"/>
              </w:rPr>
            </w:pPr>
            <w:r>
              <w:rPr>
                <w:rFonts w:ascii="Calibri" w:hAnsi="Calibri" w:cs="Calibri"/>
                <w:color w:val="000000"/>
                <w:sz w:val="22"/>
                <w:szCs w:val="22"/>
              </w:rPr>
              <w:t>LS Malacky, Stupavská ul. 9001 Malacky</w:t>
            </w:r>
          </w:p>
        </w:tc>
      </w:tr>
      <w:tr w:rsidR="00946A7D" w14:paraId="2B7E1A46" w14:textId="77777777">
        <w:trPr>
          <w:trHeight w:val="300"/>
        </w:trPr>
        <w:tc>
          <w:tcPr>
            <w:tcW w:w="0" w:type="auto"/>
            <w:hideMark/>
          </w:tcPr>
          <w:p w14:paraId="6A6EAB2D" w14:textId="77777777" w:rsidR="00946A7D" w:rsidRDefault="00946A7D">
            <w:pPr>
              <w:rPr>
                <w:rFonts w:ascii="Calibri" w:hAnsi="Calibri" w:cs="Calibri"/>
                <w:color w:val="000000"/>
                <w:sz w:val="22"/>
                <w:szCs w:val="22"/>
              </w:rPr>
            </w:pPr>
          </w:p>
        </w:tc>
        <w:tc>
          <w:tcPr>
            <w:tcW w:w="0" w:type="auto"/>
            <w:hideMark/>
          </w:tcPr>
          <w:p w14:paraId="32A9CDAB" w14:textId="77777777" w:rsidR="00946A7D" w:rsidRDefault="00946A7D">
            <w:pPr>
              <w:spacing w:after="0"/>
              <w:rPr>
                <w:rFonts w:ascii="Calibri" w:eastAsia="Calibri" w:hAnsi="Calibri" w:cs="Calibri"/>
                <w:szCs w:val="20"/>
              </w:rPr>
            </w:pPr>
          </w:p>
        </w:tc>
        <w:tc>
          <w:tcPr>
            <w:tcW w:w="0" w:type="auto"/>
            <w:hideMark/>
          </w:tcPr>
          <w:p w14:paraId="3743D750" w14:textId="77777777" w:rsidR="00946A7D" w:rsidRDefault="00946A7D">
            <w:pPr>
              <w:spacing w:after="0"/>
              <w:rPr>
                <w:rFonts w:ascii="Calibri" w:eastAsia="Calibri" w:hAnsi="Calibri" w:cs="Calibri"/>
                <w:szCs w:val="20"/>
              </w:rPr>
            </w:pPr>
          </w:p>
        </w:tc>
        <w:tc>
          <w:tcPr>
            <w:tcW w:w="0" w:type="auto"/>
            <w:hideMark/>
          </w:tcPr>
          <w:p w14:paraId="40A7E8C3" w14:textId="77777777" w:rsidR="00946A7D" w:rsidRDefault="00946A7D">
            <w:pPr>
              <w:spacing w:after="0"/>
              <w:rPr>
                <w:rFonts w:ascii="Calibri" w:eastAsia="Calibri" w:hAnsi="Calibri" w:cs="Calibri"/>
                <w:szCs w:val="20"/>
              </w:rPr>
            </w:pPr>
          </w:p>
        </w:tc>
        <w:tc>
          <w:tcPr>
            <w:tcW w:w="0" w:type="auto"/>
            <w:hideMark/>
          </w:tcPr>
          <w:p w14:paraId="04994C5F" w14:textId="77777777" w:rsidR="00946A7D" w:rsidRDefault="00946A7D">
            <w:pPr>
              <w:spacing w:after="0"/>
              <w:rPr>
                <w:rFonts w:ascii="Calibri" w:eastAsia="Calibri" w:hAnsi="Calibri" w:cs="Calibri"/>
                <w:szCs w:val="20"/>
              </w:rPr>
            </w:pPr>
          </w:p>
        </w:tc>
        <w:tc>
          <w:tcPr>
            <w:tcW w:w="0" w:type="auto"/>
            <w:hideMark/>
          </w:tcPr>
          <w:p w14:paraId="08138F96" w14:textId="77777777" w:rsidR="00946A7D" w:rsidRDefault="00946A7D">
            <w:pPr>
              <w:spacing w:after="0"/>
              <w:rPr>
                <w:rFonts w:ascii="Calibri" w:eastAsia="Calibri" w:hAnsi="Calibri" w:cs="Calibri"/>
                <w:szCs w:val="20"/>
              </w:rPr>
            </w:pPr>
          </w:p>
        </w:tc>
        <w:tc>
          <w:tcPr>
            <w:tcW w:w="0" w:type="auto"/>
            <w:hideMark/>
          </w:tcPr>
          <w:p w14:paraId="7178345F" w14:textId="77777777" w:rsidR="00946A7D" w:rsidRDefault="00946A7D">
            <w:pPr>
              <w:spacing w:after="0"/>
              <w:rPr>
                <w:rFonts w:ascii="Calibri" w:eastAsia="Calibri" w:hAnsi="Calibri" w:cs="Calibri"/>
                <w:szCs w:val="20"/>
              </w:rPr>
            </w:pPr>
          </w:p>
        </w:tc>
      </w:tr>
    </w:tbl>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tcPr>
          <w:p w14:paraId="167D6069" w14:textId="77777777" w:rsidR="00E123F4" w:rsidRPr="00EA3DDF" w:rsidRDefault="00E123F4" w:rsidP="003B6164">
            <w:pPr>
              <w:pStyle w:val="Bezriadkovania"/>
              <w:rPr>
                <w:rFonts w:ascii="Arial" w:hAnsi="Arial" w:cs="Arial"/>
                <w:sz w:val="20"/>
                <w:lang w:val="sk-SK"/>
              </w:rPr>
            </w:pPr>
          </w:p>
        </w:tc>
        <w:tc>
          <w:tcPr>
            <w:tcW w:w="4084" w:type="dxa"/>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tcPr>
          <w:p w14:paraId="6A973424" w14:textId="77777777" w:rsidR="00E123F4" w:rsidRPr="00EA3DDF" w:rsidRDefault="00E123F4" w:rsidP="003B6164">
            <w:pPr>
              <w:spacing w:after="0"/>
              <w:rPr>
                <w:rFonts w:cs="Arial"/>
                <w:szCs w:val="20"/>
              </w:rPr>
            </w:pPr>
          </w:p>
        </w:tc>
        <w:tc>
          <w:tcPr>
            <w:tcW w:w="4081" w:type="dxa"/>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4F94229A" w:rsidR="003D0F46" w:rsidRPr="00EA3DDF" w:rsidRDefault="00B8576C" w:rsidP="00AC44A6">
            <w:pPr>
              <w:spacing w:after="0"/>
              <w:jc w:val="center"/>
              <w:rPr>
                <w:rFonts w:cs="Arial"/>
                <w:b/>
                <w:szCs w:val="20"/>
              </w:rPr>
            </w:pPr>
            <w:r>
              <w:rPr>
                <w:rFonts w:cs="Arial"/>
                <w:szCs w:val="20"/>
              </w:rPr>
              <w:t xml:space="preserve">Vedúci </w:t>
            </w:r>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4AA1" w14:textId="77777777" w:rsidR="00B1259C" w:rsidRDefault="00B1259C">
      <w:r>
        <w:separator/>
      </w:r>
    </w:p>
  </w:endnote>
  <w:endnote w:type="continuationSeparator" w:id="0">
    <w:p w14:paraId="339DD0C1" w14:textId="77777777" w:rsidR="00B1259C" w:rsidRDefault="00B1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B11EC09"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1E1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1E10">
                    <w:rPr>
                      <w:bCs/>
                      <w:noProof/>
                      <w:sz w:val="18"/>
                      <w:szCs w:val="18"/>
                    </w:rPr>
                    <w:t>10</w:t>
                  </w:r>
                  <w:r w:rsidRPr="007C3D49">
                    <w:rPr>
                      <w:bCs/>
                      <w:sz w:val="18"/>
                      <w:szCs w:val="18"/>
                    </w:rPr>
                    <w:fldChar w:fldCharType="end"/>
                  </w:r>
                </w:p>
              </w:tc>
            </w:tr>
          </w:tbl>
          <w:p w14:paraId="3C8412FC" w14:textId="522F1C6A" w:rsidR="003B10E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9B2C" w14:textId="77777777" w:rsidR="00B1259C" w:rsidRDefault="00B1259C">
      <w:r>
        <w:separator/>
      </w:r>
    </w:p>
  </w:footnote>
  <w:footnote w:type="continuationSeparator" w:id="0">
    <w:p w14:paraId="36EAB5E7" w14:textId="77777777" w:rsidR="00B1259C" w:rsidRDefault="00B12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0009713">
    <w:abstractNumId w:val="70"/>
  </w:num>
  <w:num w:numId="2" w16cid:durableId="514078435">
    <w:abstractNumId w:val="68"/>
  </w:num>
  <w:num w:numId="3" w16cid:durableId="980769867">
    <w:abstractNumId w:val="80"/>
  </w:num>
  <w:num w:numId="4" w16cid:durableId="1973827288">
    <w:abstractNumId w:val="42"/>
  </w:num>
  <w:num w:numId="5" w16cid:durableId="77097756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25265594">
    <w:abstractNumId w:val="33"/>
  </w:num>
  <w:num w:numId="7" w16cid:durableId="1181430875">
    <w:abstractNumId w:val="36"/>
  </w:num>
  <w:num w:numId="8" w16cid:durableId="1478916116">
    <w:abstractNumId w:val="30"/>
  </w:num>
  <w:num w:numId="9" w16cid:durableId="70078732">
    <w:abstractNumId w:val="23"/>
  </w:num>
  <w:num w:numId="10" w16cid:durableId="175703081">
    <w:abstractNumId w:val="4"/>
  </w:num>
  <w:num w:numId="11" w16cid:durableId="1481654837">
    <w:abstractNumId w:val="15"/>
  </w:num>
  <w:num w:numId="12" w16cid:durableId="449209051">
    <w:abstractNumId w:val="101"/>
  </w:num>
  <w:num w:numId="13" w16cid:durableId="515735325">
    <w:abstractNumId w:val="31"/>
  </w:num>
  <w:num w:numId="14" w16cid:durableId="915094113">
    <w:abstractNumId w:val="54"/>
  </w:num>
  <w:num w:numId="15" w16cid:durableId="855464091">
    <w:abstractNumId w:val="86"/>
  </w:num>
  <w:num w:numId="16" w16cid:durableId="1467549433">
    <w:abstractNumId w:val="82"/>
  </w:num>
  <w:num w:numId="17" w16cid:durableId="1067653175">
    <w:abstractNumId w:val="53"/>
  </w:num>
  <w:num w:numId="18" w16cid:durableId="1465539083">
    <w:abstractNumId w:val="76"/>
  </w:num>
  <w:num w:numId="19" w16cid:durableId="630670960">
    <w:abstractNumId w:val="95"/>
  </w:num>
  <w:num w:numId="20" w16cid:durableId="2086410967">
    <w:abstractNumId w:val="66"/>
    <w:lvlOverride w:ilvl="1">
      <w:lvl w:ilvl="1">
        <w:start w:val="1"/>
        <w:numFmt w:val="decimal"/>
        <w:isLgl/>
        <w:lvlText w:val="%1.%2."/>
        <w:lvlJc w:val="left"/>
        <w:pPr>
          <w:tabs>
            <w:tab w:val="num" w:pos="780"/>
          </w:tabs>
          <w:ind w:left="780" w:hanging="420"/>
        </w:pPr>
      </w:lvl>
    </w:lvlOverride>
  </w:num>
  <w:num w:numId="21" w16cid:durableId="760106000">
    <w:abstractNumId w:val="78"/>
  </w:num>
  <w:num w:numId="22" w16cid:durableId="201132086">
    <w:abstractNumId w:val="77"/>
  </w:num>
  <w:num w:numId="23" w16cid:durableId="1417166081">
    <w:abstractNumId w:val="45"/>
  </w:num>
  <w:num w:numId="24" w16cid:durableId="1150319134">
    <w:abstractNumId w:val="89"/>
  </w:num>
  <w:num w:numId="25" w16cid:durableId="1726490734">
    <w:abstractNumId w:val="97"/>
  </w:num>
  <w:num w:numId="26" w16cid:durableId="40371609">
    <w:abstractNumId w:val="69"/>
  </w:num>
  <w:num w:numId="27" w16cid:durableId="706833094">
    <w:abstractNumId w:val="71"/>
  </w:num>
  <w:num w:numId="28" w16cid:durableId="2120489203">
    <w:abstractNumId w:val="67"/>
  </w:num>
  <w:num w:numId="29" w16cid:durableId="1195389198">
    <w:abstractNumId w:val="92"/>
  </w:num>
  <w:num w:numId="30" w16cid:durableId="723914275">
    <w:abstractNumId w:val="99"/>
  </w:num>
  <w:num w:numId="31" w16cid:durableId="746657365">
    <w:abstractNumId w:val="43"/>
  </w:num>
  <w:num w:numId="32" w16cid:durableId="1661107652">
    <w:abstractNumId w:val="100"/>
  </w:num>
  <w:num w:numId="33" w16cid:durableId="1987778096">
    <w:abstractNumId w:val="32"/>
  </w:num>
  <w:num w:numId="34" w16cid:durableId="858662753">
    <w:abstractNumId w:val="59"/>
  </w:num>
  <w:num w:numId="35" w16cid:durableId="9529023">
    <w:abstractNumId w:val="44"/>
  </w:num>
  <w:num w:numId="36" w16cid:durableId="484588659">
    <w:abstractNumId w:val="27"/>
  </w:num>
  <w:num w:numId="37" w16cid:durableId="2124184808">
    <w:abstractNumId w:val="37"/>
  </w:num>
  <w:num w:numId="38" w16cid:durableId="1339040535">
    <w:abstractNumId w:val="58"/>
  </w:num>
  <w:num w:numId="39" w16cid:durableId="1696424262">
    <w:abstractNumId w:val="46"/>
  </w:num>
  <w:num w:numId="40" w16cid:durableId="29769405">
    <w:abstractNumId w:val="39"/>
  </w:num>
  <w:num w:numId="41" w16cid:durableId="1707943320">
    <w:abstractNumId w:val="79"/>
  </w:num>
  <w:num w:numId="42" w16cid:durableId="400714376">
    <w:abstractNumId w:val="13"/>
  </w:num>
  <w:num w:numId="43" w16cid:durableId="1585067968">
    <w:abstractNumId w:val="102"/>
  </w:num>
  <w:num w:numId="44" w16cid:durableId="738021820">
    <w:abstractNumId w:val="62"/>
  </w:num>
  <w:num w:numId="45" w16cid:durableId="889926553">
    <w:abstractNumId w:val="96"/>
  </w:num>
  <w:num w:numId="46" w16cid:durableId="680207419">
    <w:abstractNumId w:val="52"/>
  </w:num>
  <w:num w:numId="47" w16cid:durableId="1789927840">
    <w:abstractNumId w:val="10"/>
  </w:num>
  <w:num w:numId="48" w16cid:durableId="1854149886">
    <w:abstractNumId w:val="84"/>
  </w:num>
  <w:num w:numId="49" w16cid:durableId="654576969">
    <w:abstractNumId w:val="93"/>
  </w:num>
  <w:num w:numId="50" w16cid:durableId="1373962803">
    <w:abstractNumId w:val="18"/>
  </w:num>
  <w:num w:numId="51" w16cid:durableId="1173178686">
    <w:abstractNumId w:val="17"/>
  </w:num>
  <w:num w:numId="52" w16cid:durableId="2122261081">
    <w:abstractNumId w:val="3"/>
  </w:num>
  <w:num w:numId="53" w16cid:durableId="2106075132">
    <w:abstractNumId w:val="9"/>
  </w:num>
  <w:num w:numId="54" w16cid:durableId="761268914">
    <w:abstractNumId w:val="7"/>
  </w:num>
  <w:num w:numId="55" w16cid:durableId="757796247">
    <w:abstractNumId w:val="25"/>
  </w:num>
  <w:num w:numId="56" w16cid:durableId="1037319391">
    <w:abstractNumId w:val="108"/>
  </w:num>
  <w:num w:numId="57" w16cid:durableId="24797815">
    <w:abstractNumId w:val="107"/>
  </w:num>
  <w:num w:numId="58" w16cid:durableId="1896965346">
    <w:abstractNumId w:val="48"/>
  </w:num>
  <w:num w:numId="59" w16cid:durableId="1638757543">
    <w:abstractNumId w:val="91"/>
  </w:num>
  <w:num w:numId="60" w16cid:durableId="1997881462">
    <w:abstractNumId w:val="50"/>
  </w:num>
  <w:num w:numId="61" w16cid:durableId="1517496471">
    <w:abstractNumId w:val="41"/>
  </w:num>
  <w:num w:numId="62" w16cid:durableId="2117671199">
    <w:abstractNumId w:val="35"/>
  </w:num>
  <w:num w:numId="63" w16cid:durableId="473982725">
    <w:abstractNumId w:val="63"/>
  </w:num>
  <w:num w:numId="64" w16cid:durableId="783573074">
    <w:abstractNumId w:val="28"/>
  </w:num>
  <w:num w:numId="65" w16cid:durableId="1587107659">
    <w:abstractNumId w:val="14"/>
  </w:num>
  <w:num w:numId="66" w16cid:durableId="156192007">
    <w:abstractNumId w:val="29"/>
  </w:num>
  <w:num w:numId="67" w16cid:durableId="9842491">
    <w:abstractNumId w:val="104"/>
  </w:num>
  <w:num w:numId="68" w16cid:durableId="2058701751">
    <w:abstractNumId w:val="85"/>
  </w:num>
  <w:num w:numId="69" w16cid:durableId="1317997370">
    <w:abstractNumId w:val="98"/>
  </w:num>
  <w:num w:numId="70" w16cid:durableId="1573925330">
    <w:abstractNumId w:val="75"/>
  </w:num>
  <w:num w:numId="71" w16cid:durableId="1736119828">
    <w:abstractNumId w:val="56"/>
  </w:num>
  <w:num w:numId="72" w16cid:durableId="1702585385">
    <w:abstractNumId w:val="60"/>
  </w:num>
  <w:num w:numId="73" w16cid:durableId="1586763876">
    <w:abstractNumId w:val="55"/>
  </w:num>
  <w:num w:numId="74" w16cid:durableId="861629507">
    <w:abstractNumId w:val="26"/>
  </w:num>
  <w:num w:numId="75" w16cid:durableId="1423843386">
    <w:abstractNumId w:val="19"/>
  </w:num>
  <w:num w:numId="76" w16cid:durableId="585923502">
    <w:abstractNumId w:val="5"/>
  </w:num>
  <w:num w:numId="77" w16cid:durableId="1569074890">
    <w:abstractNumId w:val="94"/>
  </w:num>
  <w:num w:numId="78" w16cid:durableId="655305254">
    <w:abstractNumId w:val="72"/>
  </w:num>
  <w:num w:numId="79" w16cid:durableId="555513457">
    <w:abstractNumId w:val="87"/>
  </w:num>
  <w:num w:numId="80" w16cid:durableId="686713367">
    <w:abstractNumId w:val="16"/>
  </w:num>
  <w:num w:numId="81" w16cid:durableId="845705606">
    <w:abstractNumId w:val="51"/>
  </w:num>
  <w:num w:numId="82" w16cid:durableId="1072898416">
    <w:abstractNumId w:val="65"/>
  </w:num>
  <w:num w:numId="83" w16cid:durableId="1040403609">
    <w:abstractNumId w:val="12"/>
  </w:num>
  <w:num w:numId="84" w16cid:durableId="225920634">
    <w:abstractNumId w:val="90"/>
  </w:num>
  <w:num w:numId="85" w16cid:durableId="2047287112">
    <w:abstractNumId w:val="6"/>
  </w:num>
  <w:num w:numId="86" w16cid:durableId="1647783273">
    <w:abstractNumId w:val="34"/>
  </w:num>
  <w:num w:numId="87" w16cid:durableId="1285887628">
    <w:abstractNumId w:val="38"/>
  </w:num>
  <w:num w:numId="88" w16cid:durableId="1473983658">
    <w:abstractNumId w:val="73"/>
  </w:num>
  <w:num w:numId="89" w16cid:durableId="1083456604">
    <w:abstractNumId w:val="8"/>
  </w:num>
  <w:num w:numId="90" w16cid:durableId="492262323">
    <w:abstractNumId w:val="24"/>
  </w:num>
  <w:num w:numId="91" w16cid:durableId="943612253">
    <w:abstractNumId w:val="74"/>
  </w:num>
  <w:num w:numId="92" w16cid:durableId="391077433">
    <w:abstractNumId w:val="11"/>
  </w:num>
  <w:num w:numId="93" w16cid:durableId="1123578018">
    <w:abstractNumId w:val="57"/>
  </w:num>
  <w:num w:numId="94" w16cid:durableId="1076516774">
    <w:abstractNumId w:val="21"/>
  </w:num>
  <w:num w:numId="95" w16cid:durableId="1918246193">
    <w:abstractNumId w:val="2"/>
  </w:num>
  <w:num w:numId="96" w16cid:durableId="1323268036">
    <w:abstractNumId w:val="106"/>
  </w:num>
  <w:num w:numId="97" w16cid:durableId="1145581885">
    <w:abstractNumId w:val="49"/>
  </w:num>
  <w:num w:numId="98" w16cid:durableId="164440263">
    <w:abstractNumId w:val="64"/>
  </w:num>
  <w:num w:numId="99" w16cid:durableId="1492410126">
    <w:abstractNumId w:val="47"/>
  </w:num>
  <w:num w:numId="100" w16cid:durableId="103809370">
    <w:abstractNumId w:val="103"/>
  </w:num>
  <w:num w:numId="101" w16cid:durableId="303244074">
    <w:abstractNumId w:val="61"/>
  </w:num>
  <w:num w:numId="102" w16cid:durableId="1510024461">
    <w:abstractNumId w:val="88"/>
  </w:num>
  <w:num w:numId="103" w16cid:durableId="881092306">
    <w:abstractNumId w:val="81"/>
  </w:num>
  <w:num w:numId="104" w16cid:durableId="1909998325">
    <w:abstractNumId w:val="22"/>
  </w:num>
  <w:num w:numId="105" w16cid:durableId="1946422000">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46774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5282095">
    <w:abstractNumId w:val="20"/>
  </w:num>
  <w:num w:numId="108" w16cid:durableId="103966954">
    <w:abstractNumId w:val="83"/>
  </w:num>
  <w:num w:numId="109" w16cid:durableId="365523957">
    <w:abstractNumId w:val="105"/>
  </w:num>
  <w:num w:numId="110" w16cid:durableId="13292895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86925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017"/>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0B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1E10"/>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6A7D"/>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59C"/>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6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A17"/>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223"/>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5F"/>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4540044">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AA79-945A-4AD9-BCB7-3D22EC1C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3090</Words>
  <Characters>17615</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2022-08-03T12:29:00Z</cp:lastPrinted>
  <dcterms:created xsi:type="dcterms:W3CDTF">2023-08-21T08:30:00Z</dcterms:created>
  <dcterms:modified xsi:type="dcterms:W3CDTF">2025-10-22T07:16:00Z</dcterms:modified>
  <cp:category>EIZ</cp:category>
</cp:coreProperties>
</file>