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1278658F" w:rsidR="003C31FE" w:rsidRPr="003C31FE" w:rsidRDefault="00A67798" w:rsidP="00A67798">
      <w:pPr>
        <w:ind w:left="0" w:firstLine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Príloha č. 1 Výzvy na predloženie ponuky - </w:t>
      </w:r>
      <w:r w:rsidRPr="00A67798">
        <w:rPr>
          <w:bCs/>
          <w:sz w:val="22"/>
          <w:szCs w:val="22"/>
        </w:rPr>
        <w:t>„</w:t>
      </w:r>
      <w:proofErr w:type="spellStart"/>
      <w:r w:rsidRPr="00A67798">
        <w:rPr>
          <w:bCs/>
          <w:sz w:val="22"/>
          <w:szCs w:val="22"/>
        </w:rPr>
        <w:t>Autoinjektory</w:t>
      </w:r>
      <w:proofErr w:type="spellEnd"/>
      <w:r w:rsidRPr="00A67798">
        <w:rPr>
          <w:bCs/>
          <w:sz w:val="22"/>
          <w:szCs w:val="22"/>
        </w:rPr>
        <w:t>– DNS“ – výzva č. 1</w:t>
      </w:r>
    </w:p>
    <w:p w14:paraId="0341FF90" w14:textId="538F79EA" w:rsidR="009704B6" w:rsidRPr="003C31FE" w:rsidRDefault="00A67798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  <w:r>
        <w:rPr>
          <w:color w:val="4D4D4D" w:themeColor="accent6"/>
          <w:sz w:val="22"/>
          <w:szCs w:val="22"/>
        </w:rPr>
        <w:t xml:space="preserve">                                                                                                                                             Počet listov:</w:t>
      </w:r>
      <w:r w:rsidR="004611F5">
        <w:rPr>
          <w:color w:val="4D4D4D" w:themeColor="accent6"/>
          <w:sz w:val="22"/>
          <w:szCs w:val="22"/>
        </w:rPr>
        <w:t xml:space="preserve"> 29</w:t>
      </w:r>
    </w:p>
    <w:p w14:paraId="3B9C86ED" w14:textId="53510107" w:rsidR="002271D0" w:rsidRDefault="002271D0" w:rsidP="007F671C">
      <w:pPr>
        <w:jc w:val="center"/>
        <w:rPr>
          <w:b/>
          <w:smallCaps/>
          <w:sz w:val="22"/>
          <w:szCs w:val="22"/>
        </w:rPr>
      </w:pPr>
    </w:p>
    <w:p w14:paraId="65A1580F" w14:textId="77777777" w:rsidR="00A67798" w:rsidRPr="003C31FE" w:rsidRDefault="00A67798" w:rsidP="007F671C">
      <w:pPr>
        <w:jc w:val="center"/>
        <w:rPr>
          <w:b/>
          <w:smallCaps/>
          <w:sz w:val="22"/>
          <w:szCs w:val="22"/>
        </w:rPr>
      </w:pPr>
    </w:p>
    <w:p w14:paraId="27A6186C" w14:textId="09D78F74" w:rsidR="002271D0" w:rsidRDefault="002271D0" w:rsidP="007F671C">
      <w:pPr>
        <w:jc w:val="center"/>
        <w:rPr>
          <w:b/>
          <w:smallCaps/>
          <w:sz w:val="28"/>
          <w:szCs w:val="28"/>
        </w:rPr>
      </w:pPr>
    </w:p>
    <w:p w14:paraId="2DA6FA28" w14:textId="77777777" w:rsidR="00094EFE" w:rsidRDefault="00094EFE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76E67F1E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bookmarkStart w:id="0" w:name="_Hlk212459473"/>
      <w:proofErr w:type="spellStart"/>
      <w:r w:rsidR="000902C2">
        <w:rPr>
          <w:b/>
          <w:color w:val="auto"/>
          <w:sz w:val="28"/>
          <w:szCs w:val="28"/>
        </w:rPr>
        <w:t>Autoinjektory</w:t>
      </w:r>
      <w:proofErr w:type="spellEnd"/>
      <w:r w:rsidRPr="0073386B">
        <w:rPr>
          <w:b/>
          <w:color w:val="auto"/>
          <w:sz w:val="28"/>
          <w:szCs w:val="28"/>
        </w:rPr>
        <w:t>“</w:t>
      </w:r>
      <w:r>
        <w:rPr>
          <w:b/>
          <w:color w:val="auto"/>
          <w:sz w:val="28"/>
          <w:szCs w:val="28"/>
        </w:rPr>
        <w:t xml:space="preserve"> výzva č. </w:t>
      </w:r>
      <w:r w:rsidR="005E70AF">
        <w:rPr>
          <w:b/>
          <w:color w:val="auto"/>
          <w:sz w:val="28"/>
          <w:szCs w:val="28"/>
        </w:rPr>
        <w:t xml:space="preserve">1 </w:t>
      </w:r>
      <w:r w:rsidR="00D51DE3">
        <w:rPr>
          <w:b/>
          <w:color w:val="auto"/>
          <w:sz w:val="28"/>
          <w:szCs w:val="28"/>
        </w:rPr>
        <w:t xml:space="preserve">na predmet zákazky </w:t>
      </w:r>
      <w:r w:rsidR="00D51DE3" w:rsidRPr="0088260A">
        <w:rPr>
          <w:b/>
          <w:color w:val="auto"/>
          <w:sz w:val="28"/>
          <w:szCs w:val="28"/>
        </w:rPr>
        <w:t>„</w:t>
      </w:r>
      <w:r w:rsidR="005E70AF">
        <w:rPr>
          <w:b/>
          <w:color w:val="auto"/>
          <w:sz w:val="28"/>
          <w:szCs w:val="28"/>
        </w:rPr>
        <w:t xml:space="preserve">Dvojkomorový </w:t>
      </w:r>
      <w:proofErr w:type="spellStart"/>
      <w:r w:rsidR="005E70AF">
        <w:rPr>
          <w:b/>
          <w:color w:val="auto"/>
          <w:sz w:val="28"/>
          <w:szCs w:val="28"/>
        </w:rPr>
        <w:t>autoinjektor</w:t>
      </w:r>
      <w:proofErr w:type="spellEnd"/>
      <w:r w:rsidR="005E70AF">
        <w:rPr>
          <w:b/>
          <w:color w:val="auto"/>
          <w:sz w:val="28"/>
          <w:szCs w:val="28"/>
        </w:rPr>
        <w:t xml:space="preserve"> s </w:t>
      </w:r>
      <w:proofErr w:type="spellStart"/>
      <w:r w:rsidR="005E70AF">
        <w:rPr>
          <w:b/>
          <w:color w:val="auto"/>
          <w:sz w:val="28"/>
          <w:szCs w:val="28"/>
        </w:rPr>
        <w:t>antidotom</w:t>
      </w:r>
      <w:proofErr w:type="spellEnd"/>
      <w:r w:rsidR="005E70AF">
        <w:rPr>
          <w:b/>
          <w:color w:val="auto"/>
          <w:sz w:val="28"/>
          <w:szCs w:val="28"/>
        </w:rPr>
        <w:t xml:space="preserve"> proti nervovoparalytickým látkam – </w:t>
      </w:r>
      <w:proofErr w:type="spellStart"/>
      <w:r w:rsidR="005E70AF">
        <w:rPr>
          <w:b/>
          <w:color w:val="auto"/>
          <w:sz w:val="28"/>
          <w:szCs w:val="28"/>
        </w:rPr>
        <w:t>pralidoxim</w:t>
      </w:r>
      <w:proofErr w:type="spellEnd"/>
      <w:r w:rsidR="005E70AF">
        <w:rPr>
          <w:b/>
          <w:color w:val="auto"/>
          <w:sz w:val="28"/>
          <w:szCs w:val="28"/>
        </w:rPr>
        <w:t>/</w:t>
      </w:r>
      <w:proofErr w:type="spellStart"/>
      <w:r w:rsidR="005E70AF">
        <w:rPr>
          <w:b/>
          <w:color w:val="auto"/>
          <w:sz w:val="28"/>
          <w:szCs w:val="28"/>
        </w:rPr>
        <w:t>atropin</w:t>
      </w:r>
      <w:proofErr w:type="spellEnd"/>
      <w:r w:rsidR="005E70AF">
        <w:rPr>
          <w:b/>
          <w:color w:val="auto"/>
          <w:sz w:val="28"/>
          <w:szCs w:val="28"/>
        </w:rPr>
        <w:t xml:space="preserve">,  jednokomorový </w:t>
      </w:r>
      <w:proofErr w:type="spellStart"/>
      <w:r w:rsidR="005E70AF">
        <w:rPr>
          <w:b/>
          <w:color w:val="auto"/>
          <w:sz w:val="28"/>
          <w:szCs w:val="28"/>
        </w:rPr>
        <w:t>autoinjektor</w:t>
      </w:r>
      <w:proofErr w:type="spellEnd"/>
      <w:r w:rsidR="005E70AF">
        <w:rPr>
          <w:b/>
          <w:color w:val="auto"/>
          <w:sz w:val="28"/>
          <w:szCs w:val="28"/>
        </w:rPr>
        <w:t xml:space="preserve"> s </w:t>
      </w:r>
      <w:proofErr w:type="spellStart"/>
      <w:r w:rsidR="005E70AF">
        <w:rPr>
          <w:b/>
          <w:color w:val="auto"/>
          <w:sz w:val="28"/>
          <w:szCs w:val="28"/>
        </w:rPr>
        <w:t>antidotom</w:t>
      </w:r>
      <w:proofErr w:type="spellEnd"/>
      <w:r w:rsidR="005E70AF">
        <w:rPr>
          <w:b/>
          <w:color w:val="auto"/>
          <w:sz w:val="28"/>
          <w:szCs w:val="28"/>
        </w:rPr>
        <w:t xml:space="preserve"> proti nervovoparalytickým látkam – </w:t>
      </w:r>
      <w:proofErr w:type="spellStart"/>
      <w:r w:rsidR="005E70AF">
        <w:rPr>
          <w:b/>
          <w:color w:val="auto"/>
          <w:sz w:val="28"/>
          <w:szCs w:val="28"/>
        </w:rPr>
        <w:t>diazepam</w:t>
      </w:r>
      <w:proofErr w:type="spellEnd"/>
      <w:r w:rsidR="005E70AF">
        <w:rPr>
          <w:b/>
          <w:color w:val="auto"/>
          <w:sz w:val="28"/>
          <w:szCs w:val="28"/>
        </w:rPr>
        <w:t>,</w:t>
      </w:r>
      <w:r w:rsidR="00D51DE3" w:rsidRPr="0088260A">
        <w:rPr>
          <w:b/>
          <w:color w:val="auto"/>
          <w:sz w:val="28"/>
          <w:szCs w:val="28"/>
        </w:rPr>
        <w:t>“</w:t>
      </w:r>
    </w:p>
    <w:bookmarkEnd w:id="0"/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79D7A00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60232207" w14:textId="77777777" w:rsidR="00094EFE" w:rsidRDefault="00094EFE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2E951184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>V</w:t>
      </w:r>
      <w:r w:rsidR="005E70AF">
        <w:rPr>
          <w:sz w:val="22"/>
          <w:szCs w:val="22"/>
        </w:rPr>
        <w:t> Liptovskom Mikuláši</w:t>
      </w:r>
      <w:r w:rsidR="007F671C" w:rsidRPr="00F666D5">
        <w:rPr>
          <w:sz w:val="22"/>
          <w:szCs w:val="22"/>
        </w:rPr>
        <w:t xml:space="preserve">, </w:t>
      </w:r>
      <w:r w:rsidR="007F671C" w:rsidRPr="00182BC3">
        <w:rPr>
          <w:sz w:val="22"/>
          <w:szCs w:val="22"/>
        </w:rPr>
        <w:t xml:space="preserve">dňa </w:t>
      </w:r>
      <w:r w:rsidR="005E70AF">
        <w:rPr>
          <w:sz w:val="22"/>
          <w:szCs w:val="22"/>
        </w:rPr>
        <w:t xml:space="preserve"> </w:t>
      </w:r>
      <w:r w:rsidR="00690E6F">
        <w:rPr>
          <w:sz w:val="22"/>
          <w:szCs w:val="22"/>
        </w:rPr>
        <w:t>2</w:t>
      </w:r>
      <w:r w:rsidR="00490586">
        <w:rPr>
          <w:sz w:val="22"/>
          <w:szCs w:val="22"/>
        </w:rPr>
        <w:t>8</w:t>
      </w:r>
      <w:r w:rsidR="00690E6F">
        <w:rPr>
          <w:sz w:val="22"/>
          <w:szCs w:val="22"/>
        </w:rPr>
        <w:t>.10.</w:t>
      </w:r>
      <w:r w:rsidR="00102A33" w:rsidRPr="00182BC3">
        <w:rPr>
          <w:sz w:val="22"/>
          <w:szCs w:val="22"/>
        </w:rPr>
        <w:t>202</w:t>
      </w:r>
      <w:r w:rsidR="0012610D">
        <w:rPr>
          <w:sz w:val="22"/>
          <w:szCs w:val="22"/>
        </w:rPr>
        <w:t>5</w:t>
      </w:r>
      <w:r w:rsidR="007F671C" w:rsidRPr="00F666D5">
        <w:rPr>
          <w:sz w:val="22"/>
          <w:szCs w:val="22"/>
        </w:rPr>
        <w:t xml:space="preserve">             </w:t>
      </w:r>
      <w:r w:rsidR="007F671C" w:rsidRPr="006300C2">
        <w:rPr>
          <w:sz w:val="22"/>
          <w:szCs w:val="22"/>
        </w:rPr>
        <w:t xml:space="preserve">               </w:t>
      </w:r>
      <w:r w:rsidR="007F671C">
        <w:rPr>
          <w:sz w:val="22"/>
          <w:szCs w:val="22"/>
        </w:rPr>
        <w:t xml:space="preserve">             </w:t>
      </w:r>
      <w:r w:rsidR="00182BC3">
        <w:rPr>
          <w:sz w:val="22"/>
          <w:szCs w:val="22"/>
        </w:rPr>
        <w:tab/>
      </w:r>
    </w:p>
    <w:p w14:paraId="2757DE83" w14:textId="57294314" w:rsidR="002271D0" w:rsidRPr="005E70AF" w:rsidRDefault="005E70AF" w:rsidP="005E70AF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tab/>
        <w:t xml:space="preserve">                                               </w:t>
      </w:r>
      <w:r w:rsidRPr="005E70AF">
        <w:rPr>
          <w:sz w:val="22"/>
          <w:szCs w:val="22"/>
        </w:rPr>
        <w:t xml:space="preserve">     Mgr. Peter KRUPA</w:t>
      </w:r>
      <w:r w:rsidRPr="005E70AF">
        <w:rPr>
          <w:sz w:val="22"/>
          <w:szCs w:val="22"/>
        </w:rPr>
        <w:tab/>
      </w: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106ADA98" w14:textId="77777777" w:rsidR="00CD31EE" w:rsidRDefault="00CD31EE" w:rsidP="006300C2">
      <w:pPr>
        <w:jc w:val="center"/>
        <w:rPr>
          <w:b/>
          <w:bCs/>
          <w:caps/>
          <w:sz w:val="28"/>
          <w:szCs w:val="28"/>
        </w:rPr>
      </w:pPr>
    </w:p>
    <w:p w14:paraId="29D28542" w14:textId="77777777" w:rsidR="00CD31EE" w:rsidRDefault="00CD31EE" w:rsidP="006300C2">
      <w:pPr>
        <w:jc w:val="center"/>
        <w:rPr>
          <w:b/>
          <w:bCs/>
          <w:caps/>
          <w:sz w:val="28"/>
          <w:szCs w:val="28"/>
        </w:rPr>
      </w:pPr>
    </w:p>
    <w:p w14:paraId="4CFB9BFF" w14:textId="77777777" w:rsidR="00CD31EE" w:rsidRDefault="00CD31EE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0C4EFAE3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lastRenderedPageBreak/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07434656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90586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09C478D1" w:rsidR="00406EAA" w:rsidRPr="00406EAA" w:rsidRDefault="00BD33E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411FDC32" w:rsidR="00406EAA" w:rsidRPr="00406EAA" w:rsidRDefault="00BD33E8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4218EA3A" w:rsidR="00406EAA" w:rsidRDefault="00BD33E8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90586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01D9BA76" w:rsidR="00406EAA" w:rsidRPr="00406EAA" w:rsidRDefault="00BD33E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71F44E9F" w:rsidR="00406EAA" w:rsidRPr="00406EAA" w:rsidRDefault="00BD33E8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743AFDDB" w:rsidR="00406EAA" w:rsidRDefault="00BD33E8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90586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58145200" w:rsidR="00406EAA" w:rsidRPr="00406EAA" w:rsidRDefault="00BD33E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2DFC5BBC" w:rsidR="00406EAA" w:rsidRPr="00406EAA" w:rsidRDefault="00BD33E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5E079EB5" w:rsidR="00406EAA" w:rsidRPr="00406EAA" w:rsidRDefault="00BD33E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3D8DB866" w:rsidR="00406EAA" w:rsidRPr="00406EAA" w:rsidRDefault="00BD33E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585C106E" w:rsidR="00406EAA" w:rsidRPr="00406EAA" w:rsidRDefault="00BD33E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5F124F0B" w:rsidR="00406EAA" w:rsidRPr="00406EAA" w:rsidRDefault="00BD33E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31E12EAA" w:rsidR="00406EAA" w:rsidRPr="00406EAA" w:rsidRDefault="00BD33E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5F147311" w:rsidR="00406EAA" w:rsidRPr="00406EAA" w:rsidRDefault="00BD33E8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1BBD0AC7" w:rsidR="00406EAA" w:rsidRPr="00406EAA" w:rsidRDefault="00BD33E8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4AC68A30" w:rsidR="00406EAA" w:rsidRDefault="00BD33E8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90586">
              <w:rPr>
                <w:webHidden/>
              </w:rPr>
              <w:t>6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29FC9785" w:rsidR="00406EAA" w:rsidRPr="006C1635" w:rsidRDefault="00BD33E8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6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6CA4A7CA" w:rsidR="00406EAA" w:rsidRPr="006C1635" w:rsidRDefault="00BD33E8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6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5C01B85C" w:rsidR="00406EAA" w:rsidRPr="006C1635" w:rsidRDefault="00BD33E8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6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31D9EE81" w:rsidR="00406EAA" w:rsidRPr="006C1635" w:rsidRDefault="00BD33E8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56DA866F" w:rsidR="00406EAA" w:rsidRPr="006C1635" w:rsidRDefault="00BD33E8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E08C5B1" w14:textId="419A6B20" w:rsidR="009347BE" w:rsidRDefault="008C7F09" w:rsidP="00795E30">
      <w:p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>ríloha č. 1 – Opis predmetu zákazky</w:t>
      </w:r>
    </w:p>
    <w:p w14:paraId="4DCFC6F1" w14:textId="64B33863" w:rsidR="007F671C" w:rsidRDefault="008C7F09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</w:t>
      </w:r>
      <w:r w:rsidR="00A10DFC">
        <w:rPr>
          <w:sz w:val="22"/>
          <w:szCs w:val="22"/>
        </w:rPr>
        <w:t>2</w:t>
      </w:r>
      <w:r w:rsidR="00A10DFC" w:rsidRPr="00A10DFC">
        <w:rPr>
          <w:sz w:val="22"/>
          <w:szCs w:val="22"/>
        </w:rPr>
        <w:t xml:space="preserve"> – Návrh na plnenie kritérií</w:t>
      </w:r>
      <w:r w:rsidR="00116A9B">
        <w:rPr>
          <w:sz w:val="22"/>
          <w:szCs w:val="22"/>
        </w:rPr>
        <w:t xml:space="preserve"> na vyhodnotenie ponúk </w:t>
      </w:r>
    </w:p>
    <w:p w14:paraId="41D488C6" w14:textId="3C065BB2" w:rsidR="00EA31BB" w:rsidRDefault="008C7F09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>ríloha č. 3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</w:p>
    <w:p w14:paraId="6658112E" w14:textId="0B086482" w:rsidR="001B220C" w:rsidRDefault="008C7F09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>ríloha č. 4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3461C1B3" w:rsidR="00BA323B" w:rsidRDefault="008C7F09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BA323B">
        <w:rPr>
          <w:bCs/>
          <w:sz w:val="22"/>
          <w:szCs w:val="22"/>
        </w:rPr>
        <w:t xml:space="preserve">ríloha č. 5 </w:t>
      </w:r>
      <w:r w:rsidR="00BA323B" w:rsidRPr="00755FD9">
        <w:rPr>
          <w:bCs/>
          <w:sz w:val="22"/>
          <w:szCs w:val="22"/>
        </w:rPr>
        <w:t>–</w:t>
      </w:r>
      <w:r w:rsidR="00BA323B"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1" w:name="_Toc90894501"/>
    </w:p>
    <w:p w14:paraId="194DC1FD" w14:textId="136FB44F" w:rsidR="00A10DFC" w:rsidRDefault="00A10DFC" w:rsidP="00A10DFC"/>
    <w:p w14:paraId="3F64FB96" w14:textId="64FF3280" w:rsidR="00A10DFC" w:rsidRDefault="00A10DFC" w:rsidP="00A10DFC"/>
    <w:p w14:paraId="2D414958" w14:textId="3CA77D93" w:rsidR="005E70AF" w:rsidRDefault="005E70AF" w:rsidP="00A10DFC"/>
    <w:p w14:paraId="00894A9F" w14:textId="77777777" w:rsidR="005E70AF" w:rsidRDefault="005E70AF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4742BAFB" w:rsidR="00105256" w:rsidRDefault="00105256" w:rsidP="00A10DFC"/>
    <w:p w14:paraId="660BFEE8" w14:textId="753EEE4F" w:rsidR="00A67798" w:rsidRDefault="00A67798" w:rsidP="00A10DFC"/>
    <w:p w14:paraId="0A493959" w14:textId="3629CD7F" w:rsidR="00A67798" w:rsidRDefault="00A67798" w:rsidP="00A10DFC"/>
    <w:p w14:paraId="7CBD4385" w14:textId="77777777" w:rsidR="00A67798" w:rsidRDefault="00A67798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2" w:name="_Toc189637022"/>
      <w:r w:rsidRPr="00581962">
        <w:rPr>
          <w:sz w:val="24"/>
        </w:rPr>
        <w:t>Časť I.</w:t>
      </w:r>
      <w:bookmarkEnd w:id="1"/>
      <w:bookmarkEnd w:id="2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3" w:name="_Toc90894502"/>
      <w:bookmarkStart w:id="4" w:name="_Toc189637023"/>
      <w:r w:rsidRPr="00581962">
        <w:rPr>
          <w:sz w:val="24"/>
        </w:rPr>
        <w:t>Všeobecné informácie</w:t>
      </w:r>
      <w:bookmarkEnd w:id="3"/>
      <w:bookmarkEnd w:id="4"/>
    </w:p>
    <w:p w14:paraId="589F038B" w14:textId="2482B554" w:rsidR="001C79FB" w:rsidRPr="006300C2" w:rsidRDefault="00DF4AFC">
      <w:pPr>
        <w:pStyle w:val="Nadpis3"/>
      </w:pPr>
      <w:bookmarkStart w:id="5" w:name="_Toc90894503"/>
      <w:bookmarkStart w:id="6" w:name="_Toc90894720"/>
      <w:bookmarkStart w:id="7" w:name="_Toc90894884"/>
      <w:bookmarkStart w:id="8" w:name="_Toc90895206"/>
      <w:bookmarkStart w:id="9" w:name="_Toc90895316"/>
      <w:bookmarkStart w:id="10" w:name="_Toc90894504"/>
      <w:bookmarkStart w:id="11" w:name="_Toc189637024"/>
      <w:bookmarkEnd w:id="5"/>
      <w:bookmarkEnd w:id="6"/>
      <w:bookmarkEnd w:id="7"/>
      <w:bookmarkEnd w:id="8"/>
      <w:bookmarkEnd w:id="9"/>
      <w:r w:rsidRPr="006300C2">
        <w:t>Identifikácia verejného obstarávateľa</w:t>
      </w:r>
      <w:bookmarkStart w:id="12" w:name="_Toc90894505"/>
      <w:bookmarkStart w:id="13" w:name="_Toc90894722"/>
      <w:bookmarkStart w:id="14" w:name="_Toc90894886"/>
      <w:bookmarkStart w:id="15" w:name="_Toc90895208"/>
      <w:bookmarkStart w:id="16" w:name="_Toc90895318"/>
      <w:bookmarkStart w:id="17" w:name="_Toc90894506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73733FB4" w:rsidR="004023C7" w:rsidRPr="006D4E49" w:rsidRDefault="00A4473E" w:rsidP="006B708E">
      <w:pPr>
        <w:spacing w:after="0"/>
        <w:ind w:left="567" w:right="56" w:hanging="567"/>
        <w:rPr>
          <w:rStyle w:val="Hypertextovprepojenie"/>
        </w:rPr>
      </w:pPr>
      <w:r w:rsidRPr="006300C2">
        <w:rPr>
          <w:sz w:val="22"/>
          <w:szCs w:val="22"/>
        </w:rPr>
        <w:tab/>
      </w:r>
      <w:r w:rsidR="008A44C4">
        <w:rPr>
          <w:sz w:val="22"/>
          <w:szCs w:val="22"/>
        </w:rPr>
        <w:t>Adresa profilu:</w:t>
      </w:r>
      <w:r w:rsidR="00300E7A">
        <w:rPr>
          <w:sz w:val="22"/>
          <w:szCs w:val="22"/>
        </w:rPr>
        <w:tab/>
      </w:r>
      <w:r w:rsidR="00300E7A">
        <w:rPr>
          <w:sz w:val="22"/>
          <w:szCs w:val="22"/>
        </w:rPr>
        <w:tab/>
      </w:r>
      <w:r w:rsidR="006D4E49">
        <w:rPr>
          <w:sz w:val="22"/>
          <w:szCs w:val="22"/>
          <w:shd w:val="clear" w:color="auto" w:fill="FFFFFF"/>
        </w:rPr>
        <w:fldChar w:fldCharType="begin"/>
      </w:r>
      <w:r w:rsidR="006D4E49">
        <w:rPr>
          <w:sz w:val="22"/>
          <w:szCs w:val="22"/>
          <w:shd w:val="clear" w:color="auto" w:fill="FFFFFF"/>
        </w:rPr>
        <w:instrText xml:space="preserve"> HYPERLINK "https://www.uvo.gov.sk/vyhladavanie/vyhladavanie-zakaziek/detail/540213" \t "_self" </w:instrText>
      </w:r>
      <w:r w:rsidR="006D4E49">
        <w:rPr>
          <w:sz w:val="22"/>
          <w:szCs w:val="22"/>
          <w:shd w:val="clear" w:color="auto" w:fill="FFFFFF"/>
        </w:rPr>
        <w:fldChar w:fldCharType="separate"/>
      </w:r>
      <w:r w:rsidR="00300E7A" w:rsidRPr="006D4E49">
        <w:rPr>
          <w:rStyle w:val="Hypertextovprepojenie"/>
          <w:sz w:val="22"/>
          <w:szCs w:val="22"/>
          <w:shd w:val="clear" w:color="auto" w:fill="FFFFFF"/>
        </w:rPr>
        <w:t>https://www.uvo.gov.sk/vyhladavanie/vyhladavanie-zakaziek/detail/540213</w:t>
      </w:r>
    </w:p>
    <w:p w14:paraId="1C72AD93" w14:textId="77777777" w:rsidR="008A44C4" w:rsidRPr="006D4E49" w:rsidRDefault="008A44C4" w:rsidP="006B708E">
      <w:pPr>
        <w:spacing w:after="0"/>
        <w:ind w:left="567" w:right="56" w:hanging="567"/>
        <w:rPr>
          <w:rStyle w:val="Hypertextovprepojenie"/>
          <w:sz w:val="22"/>
          <w:szCs w:val="22"/>
        </w:rPr>
      </w:pPr>
    </w:p>
    <w:p w14:paraId="63F154C8" w14:textId="2FF89134" w:rsidR="004023C7" w:rsidRDefault="006D4E49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fldChar w:fldCharType="end"/>
      </w:r>
      <w:r w:rsidR="004023C7"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 w:rsidR="004023C7">
        <w:rPr>
          <w:sz w:val="22"/>
          <w:szCs w:val="22"/>
        </w:rPr>
        <w:t xml:space="preserve"> v JOSEPHINE:</w:t>
      </w:r>
      <w:r w:rsidR="004023C7">
        <w:rPr>
          <w:sz w:val="22"/>
          <w:szCs w:val="22"/>
        </w:rPr>
        <w:tab/>
      </w:r>
      <w:r w:rsidR="004023C7">
        <w:rPr>
          <w:sz w:val="22"/>
          <w:szCs w:val="22"/>
        </w:rPr>
        <w:tab/>
      </w:r>
      <w:r w:rsidR="00715634">
        <w:rPr>
          <w:sz w:val="22"/>
          <w:szCs w:val="22"/>
        </w:rPr>
        <w:t>71918</w:t>
      </w:r>
    </w:p>
    <w:p w14:paraId="70FE773F" w14:textId="0A963DB5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8" w:history="1">
        <w:r w:rsidR="00715634" w:rsidRPr="000C27E6">
          <w:rPr>
            <w:rStyle w:val="Hypertextovprepojenie"/>
            <w:sz w:val="22"/>
            <w:szCs w:val="22"/>
          </w:rPr>
          <w:t>https://josephine.proebiz.com/sk/tender/71918/summary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BB06159" w14:textId="1DC6FBB0" w:rsidR="00A10DFC" w:rsidRPr="00A10DFC" w:rsidRDefault="00A10DFC">
      <w:pPr>
        <w:pStyle w:val="Nadpis3"/>
      </w:pPr>
      <w:bookmarkStart w:id="18" w:name="_Toc90894508"/>
      <w:bookmarkStart w:id="19" w:name="_Toc189637025"/>
      <w:bookmarkEnd w:id="18"/>
      <w:r>
        <w:t>Predmet zákazky</w:t>
      </w:r>
      <w:bookmarkEnd w:id="19"/>
      <w:r>
        <w:t xml:space="preserve"> </w:t>
      </w:r>
    </w:p>
    <w:p w14:paraId="0D1E6B53" w14:textId="4710C7E4" w:rsidR="00A10DFC" w:rsidRPr="00A10DFC" w:rsidRDefault="004852C3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Predmetom zákazky je nákup a dodanie liečivých prípravkov tzv. </w:t>
      </w:r>
      <w:proofErr w:type="spellStart"/>
      <w:r>
        <w:rPr>
          <w:sz w:val="22"/>
          <w:szCs w:val="22"/>
        </w:rPr>
        <w:t>autoinjektorov</w:t>
      </w:r>
      <w:proofErr w:type="spellEnd"/>
      <w:r>
        <w:rPr>
          <w:sz w:val="22"/>
          <w:szCs w:val="22"/>
        </w:rPr>
        <w:t xml:space="preserve">, pre </w:t>
      </w:r>
      <w:proofErr w:type="spellStart"/>
      <w:r>
        <w:rPr>
          <w:sz w:val="22"/>
          <w:szCs w:val="22"/>
        </w:rPr>
        <w:t>vnútrosvalovú</w:t>
      </w:r>
      <w:proofErr w:type="spellEnd"/>
      <w:r>
        <w:rPr>
          <w:sz w:val="22"/>
          <w:szCs w:val="22"/>
        </w:rPr>
        <w:t xml:space="preserve"> aplikáciu liečiv určených na poskytnutie prvej pomoci formou svojpomoci alebo vzájomnej pomoci pri použití chemických bojových toxických látok zo skupiny nervovoparalytických látok typu </w:t>
      </w:r>
      <w:proofErr w:type="spellStart"/>
      <w:r>
        <w:rPr>
          <w:sz w:val="22"/>
          <w:szCs w:val="22"/>
        </w:rPr>
        <w:t>sarin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soman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tabun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morfin</w:t>
      </w:r>
      <w:proofErr w:type="spellEnd"/>
      <w:r>
        <w:rPr>
          <w:sz w:val="22"/>
          <w:szCs w:val="22"/>
        </w:rPr>
        <w:t xml:space="preserve"> a látok skupiny VX, G </w:t>
      </w:r>
      <w:proofErr w:type="spellStart"/>
      <w:r>
        <w:rPr>
          <w:sz w:val="22"/>
          <w:szCs w:val="22"/>
        </w:rPr>
        <w:t>aV</w:t>
      </w:r>
      <w:proofErr w:type="spellEnd"/>
      <w:r w:rsidR="006B708E">
        <w:rPr>
          <w:sz w:val="22"/>
          <w:szCs w:val="22"/>
        </w:rPr>
        <w:t>.</w:t>
      </w:r>
    </w:p>
    <w:p w14:paraId="287B569D" w14:textId="19E6EDDD" w:rsid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426F3222" w14:textId="77777777" w:rsidR="00293DF4" w:rsidRDefault="00293DF4" w:rsidP="000B7DA3">
      <w:pPr>
        <w:spacing w:after="0"/>
        <w:ind w:right="567" w:firstLine="210"/>
        <w:rPr>
          <w:b/>
          <w:sz w:val="22"/>
          <w:szCs w:val="22"/>
        </w:rPr>
      </w:pPr>
    </w:p>
    <w:p w14:paraId="04756906" w14:textId="19822420" w:rsidR="00D3072F" w:rsidRPr="00A67798" w:rsidRDefault="00A67798" w:rsidP="000B7DA3">
      <w:pPr>
        <w:spacing w:after="0"/>
        <w:ind w:left="567" w:right="567" w:firstLine="0"/>
        <w:rPr>
          <w:rStyle w:val="gmail-green"/>
          <w:b/>
          <w:bCs/>
        </w:rPr>
      </w:pPr>
      <w:bookmarkStart w:id="20" w:name="_Hlk184372063"/>
      <w:r w:rsidRPr="00A67798">
        <w:rPr>
          <w:b/>
          <w:bCs/>
          <w:i/>
          <w:iCs/>
          <w:sz w:val="22"/>
          <w:szCs w:val="22"/>
          <w:bdr w:val="none" w:sz="0" w:space="0" w:color="auto" w:frame="1"/>
        </w:rPr>
        <w:t>33661700-8 Ostatné liečivá pre nervový systém</w:t>
      </w:r>
    </w:p>
    <w:bookmarkEnd w:id="20"/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068A6A41" w:rsidR="00A10DFC" w:rsidRPr="00AA671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>Predpokladaná hodnota predmetu zákazky:</w:t>
      </w:r>
      <w:r w:rsidR="00A67798">
        <w:rPr>
          <w:sz w:val="22"/>
          <w:szCs w:val="22"/>
        </w:rPr>
        <w:t xml:space="preserve"> </w:t>
      </w:r>
      <w:r w:rsidR="00A67798" w:rsidRPr="00A67798">
        <w:rPr>
          <w:b/>
          <w:bCs/>
          <w:sz w:val="22"/>
          <w:szCs w:val="22"/>
        </w:rPr>
        <w:t>47 559,00</w:t>
      </w:r>
      <w:r w:rsidR="002341F4">
        <w:rPr>
          <w:sz w:val="22"/>
          <w:szCs w:val="22"/>
        </w:rPr>
        <w:t xml:space="preserve"> </w:t>
      </w:r>
      <w:r w:rsidR="004C093E" w:rsidRPr="00AA6711">
        <w:rPr>
          <w:sz w:val="22"/>
          <w:szCs w:val="22"/>
        </w:rPr>
        <w:t xml:space="preserve">eur </w:t>
      </w:r>
      <w:r w:rsidR="00CA459F">
        <w:rPr>
          <w:sz w:val="22"/>
          <w:szCs w:val="22"/>
        </w:rPr>
        <w:t xml:space="preserve">bez </w:t>
      </w:r>
      <w:r w:rsidRPr="00AA6711">
        <w:rPr>
          <w:sz w:val="22"/>
          <w:szCs w:val="22"/>
        </w:rPr>
        <w:t>DPH.</w:t>
      </w:r>
    </w:p>
    <w:p w14:paraId="4F7B2843" w14:textId="13553BDC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>č. 1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449EBF62" w:rsidR="00A10DFC" w:rsidRPr="002D5ED6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i/>
          <w:iCs/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2D5ED6">
        <w:rPr>
          <w:b/>
          <w:sz w:val="22"/>
          <w:szCs w:val="22"/>
        </w:rPr>
        <w:t xml:space="preserve">a rozsah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>do</w:t>
      </w:r>
      <w:r w:rsidR="00996953">
        <w:rPr>
          <w:sz w:val="22"/>
          <w:szCs w:val="22"/>
        </w:rPr>
        <w:t xml:space="preserve">  </w:t>
      </w:r>
      <w:r w:rsidR="00996953" w:rsidRPr="00996953">
        <w:rPr>
          <w:sz w:val="22"/>
          <w:szCs w:val="22"/>
        </w:rPr>
        <w:t>11.00</w:t>
      </w:r>
      <w:r w:rsidR="00996953">
        <w:rPr>
          <w:sz w:val="22"/>
          <w:szCs w:val="22"/>
        </w:rPr>
        <w:t xml:space="preserve"> hod.</w:t>
      </w:r>
      <w:r w:rsidR="00996953" w:rsidRPr="00996953">
        <w:rPr>
          <w:sz w:val="22"/>
          <w:szCs w:val="22"/>
        </w:rPr>
        <w:t xml:space="preserve"> </w:t>
      </w:r>
      <w:r w:rsidR="00996953">
        <w:rPr>
          <w:sz w:val="22"/>
          <w:szCs w:val="22"/>
        </w:rPr>
        <w:t>dňa</w:t>
      </w:r>
      <w:r w:rsidR="00E43F1B">
        <w:rPr>
          <w:sz w:val="22"/>
          <w:szCs w:val="22"/>
        </w:rPr>
        <w:t xml:space="preserve"> </w:t>
      </w:r>
      <w:r w:rsidR="00996953">
        <w:rPr>
          <w:sz w:val="22"/>
          <w:szCs w:val="22"/>
        </w:rPr>
        <w:t xml:space="preserve">5.12.2025 </w:t>
      </w:r>
      <w:r w:rsidR="00E43F1B">
        <w:rPr>
          <w:sz w:val="22"/>
          <w:szCs w:val="22"/>
        </w:rPr>
        <w:t xml:space="preserve">od nadobudnutia účinnosti </w:t>
      </w:r>
      <w:r w:rsidR="00074742">
        <w:rPr>
          <w:sz w:val="22"/>
          <w:szCs w:val="22"/>
        </w:rPr>
        <w:t>kúpnej zmluvy</w:t>
      </w:r>
      <w:r w:rsidR="00996953">
        <w:rPr>
          <w:sz w:val="22"/>
          <w:szCs w:val="22"/>
        </w:rPr>
        <w:t xml:space="preserve"> </w:t>
      </w:r>
      <w:r w:rsidR="002D5ED6">
        <w:rPr>
          <w:sz w:val="22"/>
          <w:szCs w:val="22"/>
        </w:rPr>
        <w:t>/</w:t>
      </w:r>
      <w:r w:rsidR="00996953">
        <w:rPr>
          <w:sz w:val="22"/>
          <w:szCs w:val="22"/>
        </w:rPr>
        <w:t xml:space="preserve"> </w:t>
      </w:r>
      <w:r w:rsidR="002D5ED6" w:rsidRPr="00874708">
        <w:rPr>
          <w:i/>
          <w:iCs/>
          <w:sz w:val="22"/>
          <w:szCs w:val="22"/>
        </w:rPr>
        <w:t>počet kusov</w:t>
      </w:r>
      <w:r w:rsidR="00996953" w:rsidRPr="00874708">
        <w:rPr>
          <w:i/>
          <w:iCs/>
          <w:sz w:val="22"/>
          <w:szCs w:val="22"/>
        </w:rPr>
        <w:t xml:space="preserve"> uvedený v prílohe č. 2 týchto súťažných podkladov</w:t>
      </w:r>
    </w:p>
    <w:p w14:paraId="57FCA134" w14:textId="387FFC91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</w:t>
      </w:r>
      <w:r w:rsidR="00996953">
        <w:rPr>
          <w:sz w:val="22"/>
          <w:szCs w:val="22"/>
        </w:rPr>
        <w:t>VÚ 1355 Ružomberok pracovisko Liptovský Mikuláš, Tehelná 1108, 031 01 Liptovský Mikuláš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1" w:name="_Toc90894509"/>
      <w:bookmarkStart w:id="22" w:name="_Toc90894726"/>
      <w:bookmarkStart w:id="23" w:name="_Toc90894890"/>
      <w:bookmarkStart w:id="24" w:name="_Toc90895212"/>
      <w:bookmarkStart w:id="25" w:name="_Toc90895322"/>
      <w:bookmarkStart w:id="26" w:name="_Toc90894511"/>
      <w:bookmarkStart w:id="27" w:name="_Toc98404787"/>
      <w:bookmarkStart w:id="28" w:name="_Toc98404788"/>
      <w:bookmarkStart w:id="29" w:name="_Toc98404790"/>
      <w:bookmarkStart w:id="30" w:name="_Toc98404791"/>
      <w:bookmarkStart w:id="31" w:name="_Toc98404792"/>
      <w:bookmarkStart w:id="32" w:name="_Toc90894515"/>
      <w:bookmarkStart w:id="33" w:name="_Toc98404793"/>
      <w:bookmarkStart w:id="34" w:name="_Toc98404794"/>
      <w:bookmarkStart w:id="35" w:name="_Toc98404795"/>
      <w:bookmarkStart w:id="36" w:name="_Toc98404796"/>
      <w:bookmarkStart w:id="37" w:name="_Toc90894517"/>
      <w:bookmarkStart w:id="38" w:name="_Toc98404797"/>
      <w:bookmarkStart w:id="39" w:name="_Toc98404798"/>
      <w:bookmarkStart w:id="40" w:name="_Toc98404799"/>
      <w:bookmarkStart w:id="41" w:name="_Toc98404800"/>
      <w:bookmarkStart w:id="42" w:name="_Toc98404801"/>
      <w:bookmarkStart w:id="43" w:name="_Toc98404802"/>
      <w:bookmarkStart w:id="44" w:name="_Toc90894519"/>
      <w:bookmarkStart w:id="45" w:name="_Toc98404803"/>
      <w:bookmarkStart w:id="46" w:name="_Toc98404804"/>
      <w:bookmarkStart w:id="47" w:name="_Toc98404805"/>
      <w:bookmarkStart w:id="48" w:name="_Toc98404806"/>
      <w:bookmarkStart w:id="49" w:name="_Toc98404808"/>
      <w:bookmarkStart w:id="50" w:name="_Toc98404809"/>
      <w:bookmarkStart w:id="51" w:name="_Toc90894522"/>
      <w:bookmarkStart w:id="52" w:name="_Toc189637026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581962">
        <w:rPr>
          <w:sz w:val="24"/>
        </w:rPr>
        <w:t>Časť II.</w:t>
      </w:r>
      <w:bookmarkEnd w:id="51"/>
      <w:bookmarkEnd w:id="52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3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4" w:name="_Toc90894523"/>
      <w:bookmarkEnd w:id="53"/>
      <w:r w:rsidRPr="00581962">
        <w:rPr>
          <w:sz w:val="24"/>
        </w:rPr>
        <w:t xml:space="preserve"> </w:t>
      </w:r>
      <w:bookmarkEnd w:id="54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5" w:name="_Toc90894524"/>
      <w:bookmarkStart w:id="56" w:name="_Toc189637028"/>
      <w:r w:rsidRPr="006300C2">
        <w:t>Komunikácia</w:t>
      </w:r>
      <w:bookmarkEnd w:id="55"/>
      <w:bookmarkEnd w:id="56"/>
      <w:r w:rsidRPr="006300C2">
        <w:t xml:space="preserve"> </w:t>
      </w:r>
      <w:bookmarkStart w:id="57" w:name="_Toc90894525"/>
      <w:bookmarkEnd w:id="57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9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lastRenderedPageBreak/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0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1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58" w:name="_Toc90894526"/>
      <w:bookmarkStart w:id="59" w:name="_Toc90894743"/>
      <w:bookmarkStart w:id="60" w:name="_Toc90894907"/>
      <w:bookmarkStart w:id="61" w:name="_Toc90895229"/>
      <w:bookmarkStart w:id="62" w:name="_Toc90895339"/>
      <w:bookmarkStart w:id="63" w:name="_Toc90894527"/>
      <w:bookmarkStart w:id="64" w:name="_Toc90894744"/>
      <w:bookmarkStart w:id="65" w:name="_Toc90894908"/>
      <w:bookmarkStart w:id="66" w:name="_Toc90895230"/>
      <w:bookmarkStart w:id="67" w:name="_Toc90895340"/>
      <w:bookmarkStart w:id="68" w:name="_Toc90894528"/>
      <w:bookmarkStart w:id="69" w:name="_Toc90894745"/>
      <w:bookmarkStart w:id="70" w:name="_Toc90894909"/>
      <w:bookmarkStart w:id="71" w:name="_Toc90895231"/>
      <w:bookmarkStart w:id="72" w:name="_Toc90895341"/>
      <w:bookmarkStart w:id="73" w:name="_Toc90894529"/>
      <w:bookmarkStart w:id="74" w:name="_Toc90894746"/>
      <w:bookmarkStart w:id="75" w:name="_Toc90894910"/>
      <w:bookmarkStart w:id="76" w:name="_Toc90895232"/>
      <w:bookmarkStart w:id="77" w:name="_Toc90895342"/>
      <w:bookmarkStart w:id="78" w:name="_Toc90894530"/>
      <w:bookmarkStart w:id="79" w:name="_Toc90894747"/>
      <w:bookmarkStart w:id="80" w:name="_Toc90894911"/>
      <w:bookmarkStart w:id="81" w:name="_Toc90895233"/>
      <w:bookmarkStart w:id="82" w:name="_Toc90895343"/>
      <w:bookmarkStart w:id="83" w:name="_Toc90894531"/>
      <w:bookmarkStart w:id="84" w:name="_Toc90894748"/>
      <w:bookmarkStart w:id="85" w:name="_Toc90894912"/>
      <w:bookmarkStart w:id="86" w:name="_Toc90895234"/>
      <w:bookmarkStart w:id="87" w:name="_Toc90895344"/>
      <w:bookmarkStart w:id="88" w:name="_Toc90894532"/>
      <w:bookmarkStart w:id="89" w:name="_Toc90894749"/>
      <w:bookmarkStart w:id="90" w:name="_Toc90894913"/>
      <w:bookmarkStart w:id="91" w:name="_Toc90895235"/>
      <w:bookmarkStart w:id="92" w:name="_Toc90895345"/>
      <w:bookmarkStart w:id="93" w:name="_Toc90894533"/>
      <w:bookmarkStart w:id="94" w:name="_Toc90894750"/>
      <w:bookmarkStart w:id="95" w:name="_Toc90894914"/>
      <w:bookmarkStart w:id="96" w:name="_Toc90895236"/>
      <w:bookmarkStart w:id="97" w:name="_Toc90895346"/>
      <w:bookmarkStart w:id="98" w:name="_Toc90894534"/>
      <w:bookmarkStart w:id="99" w:name="_Toc90894751"/>
      <w:bookmarkStart w:id="100" w:name="_Toc90894915"/>
      <w:bookmarkStart w:id="101" w:name="_Toc90895237"/>
      <w:bookmarkStart w:id="102" w:name="_Toc90895347"/>
      <w:bookmarkStart w:id="103" w:name="_Toc90894535"/>
      <w:bookmarkStart w:id="104" w:name="_Toc90894752"/>
      <w:bookmarkStart w:id="105" w:name="_Toc90894916"/>
      <w:bookmarkStart w:id="106" w:name="_Toc90895238"/>
      <w:bookmarkStart w:id="107" w:name="_Toc90895348"/>
      <w:bookmarkStart w:id="108" w:name="_Toc90894536"/>
      <w:bookmarkStart w:id="109" w:name="_Toc90894753"/>
      <w:bookmarkStart w:id="110" w:name="_Toc90894917"/>
      <w:bookmarkStart w:id="111" w:name="_Toc90895239"/>
      <w:bookmarkStart w:id="112" w:name="_Toc90895349"/>
      <w:bookmarkStart w:id="113" w:name="_Toc90894537"/>
      <w:bookmarkStart w:id="114" w:name="_Toc189637029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6300C2">
        <w:t>Vysvetľovanie</w:t>
      </w:r>
      <w:bookmarkEnd w:id="113"/>
      <w:bookmarkEnd w:id="114"/>
      <w:r w:rsidR="0021636A" w:rsidRPr="006300C2">
        <w:t xml:space="preserve"> </w:t>
      </w:r>
      <w:bookmarkStart w:id="115" w:name="_Toc90894538"/>
      <w:bookmarkEnd w:id="115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6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7" w:name="_Ref90898411"/>
      <w:bookmarkEnd w:id="116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19F21A13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8" w:name="_Ref100565172"/>
      <w:bookmarkEnd w:id="117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490586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8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9" w:name="_Ref90900043"/>
    </w:p>
    <w:bookmarkEnd w:id="119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58F0A5E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490586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20" w:name="_Toc90894541"/>
      <w:bookmarkStart w:id="121" w:name="_Toc189637030"/>
      <w:r w:rsidRPr="00581962">
        <w:rPr>
          <w:sz w:val="24"/>
        </w:rPr>
        <w:t>Časť III.</w:t>
      </w:r>
      <w:bookmarkEnd w:id="120"/>
      <w:bookmarkEnd w:id="121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2" w:name="_Toc90894543"/>
      <w:bookmarkStart w:id="123" w:name="_Toc90894760"/>
      <w:bookmarkStart w:id="124" w:name="_Toc90894924"/>
      <w:bookmarkStart w:id="125" w:name="_Toc90895246"/>
      <w:bookmarkStart w:id="126" w:name="_Toc90895356"/>
      <w:bookmarkStart w:id="127" w:name="_Toc189637031"/>
      <w:bookmarkEnd w:id="122"/>
      <w:bookmarkEnd w:id="123"/>
      <w:bookmarkEnd w:id="124"/>
      <w:bookmarkEnd w:id="125"/>
      <w:bookmarkEnd w:id="126"/>
      <w:r>
        <w:rPr>
          <w:sz w:val="24"/>
        </w:rPr>
        <w:t>Predloženie ponuky</w:t>
      </w:r>
      <w:bookmarkEnd w:id="127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28" w:name="_Toc189637032"/>
      <w:r>
        <w:t>Podmienky predloženia ponuky</w:t>
      </w:r>
      <w:bookmarkEnd w:id="128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29" w:name="_Toc90894548"/>
      <w:bookmarkStart w:id="130" w:name="_Toc90894765"/>
      <w:bookmarkStart w:id="131" w:name="_Toc90894929"/>
      <w:bookmarkStart w:id="132" w:name="_Toc90895251"/>
      <w:bookmarkStart w:id="133" w:name="_Toc90895361"/>
      <w:bookmarkStart w:id="134" w:name="_Toc189637033"/>
      <w:bookmarkEnd w:id="129"/>
      <w:bookmarkEnd w:id="130"/>
      <w:bookmarkEnd w:id="131"/>
      <w:bookmarkEnd w:id="132"/>
      <w:bookmarkEnd w:id="133"/>
      <w:r w:rsidRPr="007570A6">
        <w:t xml:space="preserve">Obsah </w:t>
      </w:r>
      <w:r w:rsidR="007F150D">
        <w:t>ponuky</w:t>
      </w:r>
      <w:bookmarkEnd w:id="134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14E82056" w14:textId="19B416FC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2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36376C7F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opis</w:t>
      </w:r>
      <w:r>
        <w:rPr>
          <w:sz w:val="22"/>
          <w:szCs w:val="22"/>
        </w:rPr>
        <w:t xml:space="preserve">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b/>
          <w:bCs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 xml:space="preserve">v takom rozsahu, aby bolo možné jednoznačne posúdiť splnenie všetkých požiadaviek verejného obstarávateľa na predmet zákazky. </w:t>
      </w:r>
      <w:r w:rsidR="00DE32A2" w:rsidRPr="00DE32A2">
        <w:rPr>
          <w:sz w:val="22"/>
          <w:szCs w:val="22"/>
        </w:rPr>
        <w:lastRenderedPageBreak/>
        <w:t>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 xml:space="preserve">1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3C52802D" w:rsidR="00C049F0" w:rsidRP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96953">
        <w:rPr>
          <w:b/>
          <w:bCs/>
          <w:sz w:val="22"/>
          <w:szCs w:val="22"/>
        </w:rPr>
        <w:t>fotografie</w:t>
      </w:r>
      <w:r>
        <w:rPr>
          <w:sz w:val="22"/>
          <w:szCs w:val="22"/>
        </w:rPr>
        <w:t xml:space="preserve"> (nie ilustračné fotografie) predmetu zákazky na každý druh tovaru v súlade s prílohou č. 1 týchto súťažných podkladov – Opis predmetu zákazky,</w:t>
      </w:r>
    </w:p>
    <w:p w14:paraId="1816616F" w14:textId="074A0CAC" w:rsidR="006A0B00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údaje o subdodávkach a subdodávateľoch</w:t>
      </w:r>
      <w:r>
        <w:rPr>
          <w:sz w:val="22"/>
          <w:szCs w:val="22"/>
        </w:rPr>
        <w:t xml:space="preserve"> podľa prílohy č. 4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DB142D8" w14:textId="2E5B88D1" w:rsidR="006A4C7C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>, 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DDB4C73" w14:textId="663B3708" w:rsidR="00D3072F" w:rsidRPr="00074742" w:rsidRDefault="00397EC3" w:rsidP="0007474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0B7DA3">
      <w:pPr>
        <w:pStyle w:val="Nadpis3"/>
        <w:ind w:right="567"/>
      </w:pPr>
      <w:bookmarkStart w:id="135" w:name="_Toc189637034"/>
      <w:r>
        <w:t>Kritéria na vyhodnotenie ponúk a pravidlá ich uplatnenia</w:t>
      </w:r>
      <w:bookmarkEnd w:id="135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4F7F05DF" w14:textId="5608E880" w:rsidR="00954537" w:rsidRDefault="00B036C4" w:rsidP="000B7DA3">
      <w:pPr>
        <w:pStyle w:val="Nadpis3"/>
        <w:ind w:right="567"/>
      </w:pPr>
      <w:bookmarkStart w:id="136" w:name="_Toc90894579"/>
      <w:bookmarkStart w:id="137" w:name="_Toc189637035"/>
      <w:r w:rsidRPr="0069212E">
        <w:t>Lehota na predkladanie</w:t>
      </w:r>
      <w:bookmarkStart w:id="138" w:name="_Toc90894580"/>
      <w:bookmarkEnd w:id="136"/>
      <w:bookmarkEnd w:id="138"/>
      <w:r w:rsidR="00DF313B">
        <w:t xml:space="preserve"> </w:t>
      </w:r>
      <w:bookmarkStart w:id="139" w:name="_Ref90366266"/>
      <w:r w:rsidR="007D3A2D">
        <w:t>ponúk</w:t>
      </w:r>
      <w:bookmarkEnd w:id="137"/>
    </w:p>
    <w:p w14:paraId="088D8763" w14:textId="2F7D7A1D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0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996953" w:rsidRPr="00996953">
        <w:rPr>
          <w:b/>
          <w:iCs/>
          <w:sz w:val="22"/>
          <w:szCs w:val="22"/>
        </w:rPr>
        <w:t>1</w:t>
      </w:r>
      <w:r w:rsidR="00690E6F">
        <w:rPr>
          <w:b/>
          <w:iCs/>
          <w:sz w:val="22"/>
          <w:szCs w:val="22"/>
        </w:rPr>
        <w:t>1</w:t>
      </w:r>
      <w:r w:rsidRPr="00996953">
        <w:rPr>
          <w:b/>
          <w:iCs/>
          <w:sz w:val="22"/>
          <w:szCs w:val="22"/>
        </w:rPr>
        <w:t>.</w:t>
      </w:r>
      <w:r w:rsidR="00996953" w:rsidRPr="00996953">
        <w:rPr>
          <w:b/>
          <w:iCs/>
          <w:sz w:val="22"/>
          <w:szCs w:val="22"/>
        </w:rPr>
        <w:t>11</w:t>
      </w:r>
      <w:r w:rsidR="00EC552E" w:rsidRPr="00996953">
        <w:rPr>
          <w:b/>
          <w:iCs/>
          <w:sz w:val="22"/>
          <w:szCs w:val="22"/>
        </w:rPr>
        <w:t>.202</w:t>
      </w:r>
      <w:r w:rsidR="0012610D" w:rsidRPr="00996953">
        <w:rPr>
          <w:b/>
          <w:iCs/>
          <w:sz w:val="22"/>
          <w:szCs w:val="22"/>
        </w:rPr>
        <w:t>5</w:t>
      </w:r>
      <w:r w:rsidRPr="00996953">
        <w:rPr>
          <w:b/>
          <w:iCs/>
          <w:sz w:val="22"/>
          <w:szCs w:val="22"/>
        </w:rPr>
        <w:t xml:space="preserve"> o</w:t>
      </w:r>
      <w:r w:rsidR="007D1B7C" w:rsidRPr="00996953">
        <w:rPr>
          <w:b/>
          <w:iCs/>
          <w:sz w:val="22"/>
          <w:szCs w:val="22"/>
        </w:rPr>
        <w:t> </w:t>
      </w:r>
      <w:r w:rsidR="00996953">
        <w:rPr>
          <w:b/>
          <w:iCs/>
          <w:sz w:val="22"/>
          <w:szCs w:val="22"/>
        </w:rPr>
        <w:t>0</w:t>
      </w:r>
      <w:r w:rsidR="00996953" w:rsidRPr="00996953">
        <w:rPr>
          <w:b/>
          <w:iCs/>
          <w:sz w:val="22"/>
          <w:szCs w:val="22"/>
        </w:rPr>
        <w:t>9</w:t>
      </w:r>
      <w:r w:rsidR="007D1B7C" w:rsidRPr="00996953">
        <w:rPr>
          <w:b/>
          <w:iCs/>
          <w:sz w:val="22"/>
          <w:szCs w:val="22"/>
        </w:rPr>
        <w:t>.</w:t>
      </w:r>
      <w:r w:rsidR="00996953" w:rsidRPr="00996953">
        <w:rPr>
          <w:b/>
          <w:iCs/>
          <w:sz w:val="22"/>
          <w:szCs w:val="22"/>
        </w:rPr>
        <w:t>00</w:t>
      </w:r>
      <w:r w:rsidRPr="00996953">
        <w:rPr>
          <w:b/>
          <w:iCs/>
          <w:sz w:val="22"/>
          <w:szCs w:val="22"/>
        </w:rPr>
        <w:t xml:space="preserve"> hod</w:t>
      </w:r>
      <w:r w:rsidRPr="00996953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40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41" w:name="_Ref90371162"/>
      <w:bookmarkStart w:id="142" w:name="_Toc90894581"/>
      <w:bookmarkStart w:id="143" w:name="_Toc189637036"/>
      <w:bookmarkEnd w:id="139"/>
      <w:r w:rsidRPr="00F1694B">
        <w:t>Predloženie</w:t>
      </w:r>
      <w:bookmarkEnd w:id="141"/>
      <w:bookmarkEnd w:id="142"/>
      <w:r w:rsidR="00DF313B">
        <w:t xml:space="preserve"> </w:t>
      </w:r>
      <w:r w:rsidR="00E37313">
        <w:t>ponuky</w:t>
      </w:r>
      <w:bookmarkEnd w:id="143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2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3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lastRenderedPageBreak/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4" w:name="_Toc90894582"/>
      <w:bookmarkStart w:id="145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4"/>
      <w:r w:rsidR="001B18A7">
        <w:t xml:space="preserve"> ponuky</w:t>
      </w:r>
      <w:bookmarkEnd w:id="145"/>
    </w:p>
    <w:p w14:paraId="1672186F" w14:textId="33DE0949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6" w:name="_Toc90894583"/>
      <w:bookmarkStart w:id="147" w:name="_Toc90894800"/>
      <w:bookmarkStart w:id="148" w:name="_Toc90894964"/>
      <w:bookmarkStart w:id="149" w:name="_Toc90895286"/>
      <w:bookmarkStart w:id="150" w:name="_Toc90895396"/>
      <w:bookmarkStart w:id="151" w:name="_Toc90894584"/>
      <w:bookmarkEnd w:id="146"/>
      <w:bookmarkEnd w:id="147"/>
      <w:bookmarkEnd w:id="148"/>
      <w:bookmarkEnd w:id="149"/>
      <w:bookmarkEnd w:id="150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490586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2" w:name="_Toc189637038"/>
      <w:r w:rsidRPr="00930865">
        <w:t>Variantné riešenie</w:t>
      </w:r>
      <w:bookmarkEnd w:id="152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3" w:name="_Toc189637039"/>
      <w:bookmarkEnd w:id="151"/>
      <w:r>
        <w:t>Dôvernosť verejného obstarávania</w:t>
      </w:r>
      <w:bookmarkEnd w:id="153"/>
    </w:p>
    <w:p w14:paraId="0DCC4349" w14:textId="38CA7CA4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4" w:name="_Toc189637040"/>
      <w:r>
        <w:rPr>
          <w:lang w:bidi="sk-SK"/>
        </w:rPr>
        <w:t>Elektronická aukcia</w:t>
      </w:r>
      <w:bookmarkEnd w:id="154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5" w:name="_Toc189637041"/>
      <w:r w:rsidRPr="00A66A0D">
        <w:rPr>
          <w:sz w:val="24"/>
        </w:rPr>
        <w:t>Časť VI.</w:t>
      </w:r>
      <w:bookmarkStart w:id="156" w:name="_Toc90894587"/>
      <w:bookmarkEnd w:id="155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7" w:name="_Toc100323044"/>
      <w:bookmarkStart w:id="158" w:name="_Toc189637042"/>
      <w:bookmarkEnd w:id="156"/>
      <w:r w:rsidRPr="006300C2">
        <w:t>Otváranie a vyhodnotenie ponúk</w:t>
      </w:r>
      <w:bookmarkEnd w:id="157"/>
      <w:bookmarkEnd w:id="158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59" w:name="_Toc189637043"/>
      <w:r>
        <w:t>Otváranie ponúk</w:t>
      </w:r>
      <w:bookmarkEnd w:id="159"/>
    </w:p>
    <w:p w14:paraId="295F6D9B" w14:textId="70C4A3E3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996953" w:rsidRPr="00996953">
        <w:rPr>
          <w:b/>
          <w:bCs/>
          <w:sz w:val="22"/>
          <w:szCs w:val="22"/>
          <w:lang w:bidi="sk-SK"/>
        </w:rPr>
        <w:t>1</w:t>
      </w:r>
      <w:r w:rsidR="00690E6F">
        <w:rPr>
          <w:b/>
          <w:bCs/>
          <w:sz w:val="22"/>
          <w:szCs w:val="22"/>
          <w:lang w:bidi="sk-SK"/>
        </w:rPr>
        <w:t>1</w:t>
      </w:r>
      <w:r w:rsidR="007D1B7C" w:rsidRPr="00996953">
        <w:rPr>
          <w:b/>
          <w:bCs/>
          <w:sz w:val="22"/>
          <w:szCs w:val="22"/>
          <w:lang w:bidi="sk-SK"/>
        </w:rPr>
        <w:t>.</w:t>
      </w:r>
      <w:r w:rsidR="00996953" w:rsidRPr="00996953">
        <w:rPr>
          <w:b/>
          <w:bCs/>
          <w:sz w:val="22"/>
          <w:szCs w:val="22"/>
          <w:lang w:bidi="sk-SK"/>
        </w:rPr>
        <w:t>11</w:t>
      </w:r>
      <w:r w:rsidR="00933D6A" w:rsidRPr="00996953">
        <w:rPr>
          <w:b/>
          <w:bCs/>
          <w:sz w:val="22"/>
          <w:szCs w:val="22"/>
          <w:lang w:bidi="sk-SK"/>
        </w:rPr>
        <w:t>.202</w:t>
      </w:r>
      <w:r w:rsidR="00A9788E" w:rsidRPr="00996953">
        <w:rPr>
          <w:b/>
          <w:bCs/>
          <w:sz w:val="22"/>
          <w:szCs w:val="22"/>
          <w:lang w:bidi="sk-SK"/>
        </w:rPr>
        <w:t>5</w:t>
      </w:r>
      <w:r w:rsidR="00933D6A" w:rsidRPr="00996953">
        <w:rPr>
          <w:b/>
          <w:bCs/>
          <w:sz w:val="22"/>
          <w:szCs w:val="22"/>
          <w:lang w:bidi="sk-SK"/>
        </w:rPr>
        <w:t xml:space="preserve"> </w:t>
      </w:r>
      <w:r w:rsidR="00D51DE3" w:rsidRPr="00996953">
        <w:rPr>
          <w:b/>
          <w:bCs/>
          <w:sz w:val="22"/>
          <w:szCs w:val="22"/>
          <w:lang w:bidi="sk-SK"/>
        </w:rPr>
        <w:t>o</w:t>
      </w:r>
      <w:r w:rsidR="00933D6A" w:rsidRPr="00996953">
        <w:rPr>
          <w:b/>
          <w:bCs/>
          <w:sz w:val="22"/>
          <w:szCs w:val="22"/>
          <w:lang w:bidi="sk-SK"/>
        </w:rPr>
        <w:t> </w:t>
      </w:r>
      <w:r w:rsidR="00996953" w:rsidRPr="00996953">
        <w:rPr>
          <w:b/>
          <w:bCs/>
          <w:sz w:val="22"/>
          <w:szCs w:val="22"/>
          <w:lang w:bidi="sk-SK"/>
        </w:rPr>
        <w:t>09</w:t>
      </w:r>
      <w:r w:rsidR="00E60320" w:rsidRPr="00996953">
        <w:rPr>
          <w:b/>
          <w:bCs/>
          <w:sz w:val="22"/>
          <w:szCs w:val="22"/>
          <w:lang w:bidi="sk-SK"/>
        </w:rPr>
        <w:t>.</w:t>
      </w:r>
      <w:r w:rsidR="00996953" w:rsidRPr="00996953">
        <w:rPr>
          <w:b/>
          <w:bCs/>
          <w:sz w:val="22"/>
          <w:szCs w:val="22"/>
          <w:lang w:bidi="sk-SK"/>
        </w:rPr>
        <w:t>30</w:t>
      </w:r>
      <w:r w:rsidR="00933D6A" w:rsidRPr="00996953">
        <w:rPr>
          <w:b/>
          <w:bCs/>
          <w:sz w:val="22"/>
          <w:szCs w:val="22"/>
          <w:lang w:bidi="sk-SK"/>
        </w:rPr>
        <w:t xml:space="preserve"> </w:t>
      </w:r>
      <w:r w:rsidR="00D51DE3" w:rsidRPr="00996953">
        <w:rPr>
          <w:b/>
          <w:bCs/>
          <w:sz w:val="22"/>
          <w:szCs w:val="22"/>
          <w:lang w:bidi="sk-SK"/>
        </w:rPr>
        <w:t>hod</w:t>
      </w:r>
      <w:r w:rsidR="00D51DE3" w:rsidRPr="00996953">
        <w:rPr>
          <w:sz w:val="22"/>
          <w:szCs w:val="22"/>
          <w:lang w:bidi="sk-SK"/>
        </w:rPr>
        <w:t>.</w:t>
      </w:r>
    </w:p>
    <w:p w14:paraId="3766606B" w14:textId="6463B55A" w:rsidR="00143EA1" w:rsidRPr="00E60320" w:rsidRDefault="00143EA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Miestom ,,on-line“ </w:t>
      </w:r>
      <w:r w:rsidR="00E668D7">
        <w:rPr>
          <w:sz w:val="22"/>
          <w:szCs w:val="22"/>
          <w:lang w:bidi="sk-SK"/>
        </w:rPr>
        <w:t xml:space="preserve">sprístupnenia ponúk je webová adresa: </w:t>
      </w:r>
      <w:hyperlink r:id="rId14" w:history="1">
        <w:r w:rsidR="00E668D7" w:rsidRPr="004D56CB">
          <w:rPr>
            <w:rStyle w:val="Hypertextovprepojenie"/>
            <w:sz w:val="22"/>
            <w:szCs w:val="22"/>
            <w:lang w:bidi="sk-SK"/>
          </w:rPr>
          <w:t>https://josephine.proebiz.com/</w:t>
        </w:r>
      </w:hyperlink>
      <w:r w:rsidR="00E668D7">
        <w:rPr>
          <w:sz w:val="22"/>
          <w:szCs w:val="22"/>
          <w:lang w:bidi="sk-SK"/>
        </w:rPr>
        <w:t xml:space="preserve"> a totožná záložka ako pri predkladaní ponúk.</w:t>
      </w:r>
    </w:p>
    <w:p w14:paraId="4ACBD3E8" w14:textId="091BD10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  <w:lang w:bidi="sk-SK"/>
        </w:rPr>
        <w:t>O</w:t>
      </w:r>
      <w:r w:rsidR="001F0FC3">
        <w:rPr>
          <w:sz w:val="22"/>
          <w:szCs w:val="22"/>
          <w:lang w:bidi="sk-SK"/>
        </w:rPr>
        <w:t xml:space="preserve">n-line sprístupnenia ponúk sa môže zúčastniť </w:t>
      </w:r>
      <w:r w:rsidR="00AC6999">
        <w:rPr>
          <w:sz w:val="22"/>
          <w:szCs w:val="22"/>
          <w:lang w:bidi="sk-SK"/>
        </w:rPr>
        <w:t xml:space="preserve">iba uchádzač, ktorého ponuka bola predložená v lehote na predkladanie ponúk. Pri on-line sprístupnení budú zverejnené informácie v zmysle príslušných ustanovení ZVO. Všetky prístupy do tohto ,,on-line“ prostredia zo strany uchádzačov </w:t>
      </w:r>
      <w:r w:rsidR="00BF6638">
        <w:rPr>
          <w:sz w:val="22"/>
          <w:szCs w:val="22"/>
          <w:lang w:bidi="sk-SK"/>
        </w:rPr>
        <w:t>bude systém JOSEPHINE logovať a budú súčasťou protokolov v danom obstarávaní.</w:t>
      </w:r>
    </w:p>
    <w:p w14:paraId="46AC4F4C" w14:textId="3EB2A7B6" w:rsidR="00393CE9" w:rsidRDefault="00393CE9" w:rsidP="000B7DA3">
      <w:pPr>
        <w:pStyle w:val="Nadpis3"/>
        <w:ind w:right="567"/>
      </w:pPr>
      <w:bookmarkStart w:id="160" w:name="_Toc189637044"/>
      <w:r w:rsidRPr="00393CE9">
        <w:t>Vyhodnotenie ponúk</w:t>
      </w:r>
      <w:bookmarkEnd w:id="160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0B7DA3">
      <w:pPr>
        <w:pStyle w:val="Nadpis3"/>
        <w:ind w:right="567"/>
      </w:pPr>
      <w:bookmarkStart w:id="161" w:name="_Toc189637045"/>
      <w:r>
        <w:t>Informácia o výsledku vyhodnotenia ponúk a uzavretie zmluvy</w:t>
      </w:r>
      <w:bookmarkEnd w:id="161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 xml:space="preserve"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</w:t>
      </w:r>
      <w:r w:rsidRPr="006300C2">
        <w:rPr>
          <w:color w:val="000000"/>
          <w:sz w:val="22"/>
          <w:szCs w:val="22"/>
        </w:rPr>
        <w:lastRenderedPageBreak/>
        <w:t>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0ED7523F" w14:textId="5D959ED9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EE25EE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1141D3C7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>uchádzača, v rozsahu podľa prílohy č. 5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0B7DA3">
      <w:pPr>
        <w:pStyle w:val="Nadpis3"/>
        <w:ind w:right="567"/>
      </w:pPr>
      <w:bookmarkStart w:id="162" w:name="_Toc189637046"/>
      <w:r>
        <w:t>Zrušenie použitého postupu zadávania zákazky</w:t>
      </w:r>
      <w:bookmarkEnd w:id="162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3" w:name="_Toc90894595"/>
      <w:bookmarkStart w:id="164" w:name="_Toc90894596"/>
      <w:bookmarkEnd w:id="163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5" w:name="_Toc189637047"/>
      <w:bookmarkEnd w:id="164"/>
      <w:r w:rsidRPr="00922A8F">
        <w:t>Aplikácia zákona o verejnom obstarávaní</w:t>
      </w:r>
      <w:bookmarkEnd w:id="165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78CDD" w14:textId="77777777" w:rsidR="00BD33E8" w:rsidRDefault="00BD33E8">
      <w:r>
        <w:separator/>
      </w:r>
    </w:p>
  </w:endnote>
  <w:endnote w:type="continuationSeparator" w:id="0">
    <w:p w14:paraId="134CBD6C" w14:textId="77777777" w:rsidR="00BD33E8" w:rsidRDefault="00BD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574DA2F7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</w:t>
    </w:r>
    <w:r w:rsidRPr="00A827F3">
      <w:rPr>
        <w:sz w:val="21"/>
        <w:szCs w:val="21"/>
      </w:rPr>
      <w:t>Súťažné podkla</w:t>
    </w:r>
    <w:r>
      <w:rPr>
        <w:sz w:val="21"/>
        <w:szCs w:val="21"/>
      </w:rPr>
      <w:t xml:space="preserve">dy k výzve v rámci DNS </w:t>
    </w:r>
    <w:r w:rsidRPr="0073386B">
      <w:rPr>
        <w:sz w:val="21"/>
        <w:szCs w:val="21"/>
      </w:rPr>
      <w:t>„</w:t>
    </w:r>
    <w:proofErr w:type="spellStart"/>
    <w:r w:rsidR="004852C3">
      <w:rPr>
        <w:sz w:val="21"/>
        <w:szCs w:val="21"/>
      </w:rPr>
      <w:t>Autoinjektory</w:t>
    </w:r>
    <w:proofErr w:type="spellEnd"/>
    <w:r w:rsidRPr="0073386B">
      <w:rPr>
        <w:sz w:val="21"/>
        <w:szCs w:val="21"/>
      </w:rPr>
      <w:t xml:space="preserve"> – DNS“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73386B">
          <w:rPr>
            <w:sz w:val="21"/>
            <w:szCs w:val="21"/>
          </w:rPr>
          <w:t>, vý</w:t>
        </w:r>
        <w:r>
          <w:rPr>
            <w:sz w:val="21"/>
            <w:szCs w:val="21"/>
          </w:rPr>
          <w:t xml:space="preserve">zva č. </w:t>
        </w:r>
        <w:r w:rsidR="005E70AF">
          <w:rPr>
            <w:sz w:val="21"/>
            <w:szCs w:val="21"/>
          </w:rPr>
          <w:t>1</w:t>
        </w:r>
        <w:r>
          <w:rPr>
            <w:sz w:val="21"/>
            <w:szCs w:val="21"/>
          </w:rPr>
          <w:t xml:space="preserve"> </w:t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C4650F">
          <w:rPr>
            <w:noProof/>
            <w:sz w:val="21"/>
            <w:szCs w:val="21"/>
          </w:rPr>
          <w:t>7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AFF6" w14:textId="77777777" w:rsidR="00BD33E8" w:rsidRDefault="00BD33E8">
      <w:r>
        <w:separator/>
      </w:r>
    </w:p>
  </w:footnote>
  <w:footnote w:type="continuationSeparator" w:id="0">
    <w:p w14:paraId="167C7F92" w14:textId="77777777" w:rsidR="00BD33E8" w:rsidRDefault="00BD3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77777777" w:rsidR="00116A9B" w:rsidRDefault="00116A9B" w:rsidP="00293DF4">
    <w:pPr>
      <w:pStyle w:val="Hlavika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78C16EA2">
              <wp:simplePos x="0" y="0"/>
              <wp:positionH relativeFrom="column">
                <wp:posOffset>184150</wp:posOffset>
              </wp:positionH>
              <wp:positionV relativeFrom="paragraph">
                <wp:posOffset>-294640</wp:posOffset>
              </wp:positionV>
              <wp:extent cx="6372225" cy="7048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116A9B" w:rsidRPr="001B1912" w:rsidRDefault="00116A9B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615D3673" w14:textId="5BD3DF3C" w:rsidR="00116A9B" w:rsidRDefault="00116A9B" w:rsidP="005E70AF">
                          <w:pPr>
                            <w:spacing w:after="0"/>
                            <w:ind w:firstLine="0"/>
                            <w:jc w:val="right"/>
                            <w:rPr>
                              <w:bCs/>
                              <w:iCs/>
                              <w:sz w:val="22"/>
                              <w:szCs w:val="22"/>
                            </w:rPr>
                          </w:pPr>
                          <w:r>
                            <w:t xml:space="preserve">    </w:t>
                          </w:r>
                          <w:r w:rsidRPr="00293DF4">
                            <w:rPr>
                              <w:sz w:val="22"/>
                              <w:szCs w:val="22"/>
                            </w:rPr>
                            <w:t>Súťažné podklady k</w:t>
                          </w:r>
                          <w:r w:rsidR="005E70AF">
                            <w:rPr>
                              <w:sz w:val="22"/>
                              <w:szCs w:val="22"/>
                            </w:rPr>
                            <w:t> výzve v rámci DNS</w:t>
                          </w:r>
                          <w:r w:rsidRPr="00293DF4">
                            <w:rPr>
                              <w:sz w:val="22"/>
                              <w:szCs w:val="22"/>
                            </w:rPr>
                            <w:t xml:space="preserve">: 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„</w:t>
                          </w:r>
                          <w:proofErr w:type="spellStart"/>
                          <w:r w:rsidR="000902C2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Autoinjektory</w:t>
                          </w:r>
                          <w:proofErr w:type="spellEnd"/>
                          <w:r w:rsidRPr="0073386B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– DNS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“</w:t>
                          </w:r>
                          <w:r w:rsidR="005E70AF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 xml:space="preserve"> – výzva č. 1</w:t>
                          </w:r>
                        </w:p>
                        <w:p w14:paraId="6A27D756" w14:textId="77777777" w:rsidR="005E70AF" w:rsidRPr="00293DF4" w:rsidRDefault="005E70AF" w:rsidP="005E70AF">
                          <w:pPr>
                            <w:spacing w:after="0"/>
                            <w:ind w:firstLin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5pt;margin-top:-23.2pt;width:50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" stroked="f">
              <v:textbox>
                <w:txbxContent>
                  <w:p w14:paraId="29AD2311" w14:textId="77777777" w:rsidR="00116A9B" w:rsidRPr="001B1912" w:rsidRDefault="00116A9B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615D3673" w14:textId="5BD3DF3C" w:rsidR="00116A9B" w:rsidRDefault="00116A9B" w:rsidP="005E70AF">
                    <w:pPr>
                      <w:spacing w:after="0"/>
                      <w:ind w:firstLine="0"/>
                      <w:jc w:val="right"/>
                      <w:rPr>
                        <w:bCs/>
                        <w:iCs/>
                        <w:sz w:val="22"/>
                        <w:szCs w:val="22"/>
                      </w:rPr>
                    </w:pPr>
                    <w:r>
                      <w:t xml:space="preserve">    </w:t>
                    </w:r>
                    <w:r w:rsidRPr="00293DF4">
                      <w:rPr>
                        <w:sz w:val="22"/>
                        <w:szCs w:val="22"/>
                      </w:rPr>
                      <w:t>Súťažné podklady k</w:t>
                    </w:r>
                    <w:r w:rsidR="005E70AF">
                      <w:rPr>
                        <w:sz w:val="22"/>
                        <w:szCs w:val="22"/>
                      </w:rPr>
                      <w:t> výzve v rámci DNS</w:t>
                    </w:r>
                    <w:r w:rsidRPr="00293DF4">
                      <w:rPr>
                        <w:sz w:val="22"/>
                        <w:szCs w:val="22"/>
                      </w:rPr>
                      <w:t xml:space="preserve">: 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„</w:t>
                    </w:r>
                    <w:proofErr w:type="spellStart"/>
                    <w:r w:rsidR="000902C2">
                      <w:rPr>
                        <w:b/>
                        <w:bCs/>
                        <w:iCs/>
                        <w:sz w:val="22"/>
                        <w:szCs w:val="22"/>
                      </w:rPr>
                      <w:t>Autoinjektory</w:t>
                    </w:r>
                    <w:proofErr w:type="spellEnd"/>
                    <w:r w:rsidRPr="0073386B">
                      <w:rPr>
                        <w:b/>
                        <w:bCs/>
                        <w:iCs/>
                        <w:sz w:val="22"/>
                        <w:szCs w:val="22"/>
                      </w:rPr>
                      <w:t>– DNS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“</w:t>
                    </w:r>
                    <w:r w:rsidR="005E70AF">
                      <w:rPr>
                        <w:bCs/>
                        <w:iCs/>
                        <w:sz w:val="22"/>
                        <w:szCs w:val="22"/>
                      </w:rPr>
                      <w:t xml:space="preserve"> – výzva č. 1</w:t>
                    </w:r>
                  </w:p>
                  <w:p w14:paraId="6A27D756" w14:textId="77777777" w:rsidR="005E70AF" w:rsidRPr="00293DF4" w:rsidRDefault="005E70AF" w:rsidP="005E70AF">
                    <w:pPr>
                      <w:spacing w:after="0"/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2C2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EFE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27E6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AE0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4DA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83B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DF5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472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A16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5ED6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E7A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A87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1F5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2C3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58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62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E76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5D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0AF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3CCA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4D9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BE3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E6F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4E49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634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0D28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708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9FD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4C4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4AC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C7F09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6953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798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64E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33E8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1EE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B4A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71918/summary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uston@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2864</Words>
  <Characters>16325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19151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KRUPA Peter</cp:lastModifiedBy>
  <cp:revision>10</cp:revision>
  <cp:lastPrinted>2025-10-28T06:20:00Z</cp:lastPrinted>
  <dcterms:created xsi:type="dcterms:W3CDTF">2025-10-23T11:11:00Z</dcterms:created>
  <dcterms:modified xsi:type="dcterms:W3CDTF">2025-10-28T12:26:00Z</dcterms:modified>
</cp:coreProperties>
</file>