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7F9A7E0E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042CDF">
        <w:rPr>
          <w:rFonts w:ascii="Times New Roman" w:eastAsia="Times New Roman" w:hAnsi="Times New Roman" w:cs="Times New Roman"/>
          <w:lang w:eastAsia="sk-SK"/>
        </w:rPr>
        <w:t>303</w:t>
      </w:r>
      <w:r w:rsidR="005679E9">
        <w:rPr>
          <w:rFonts w:ascii="Times New Roman" w:eastAsia="Times New Roman" w:hAnsi="Times New Roman" w:cs="Times New Roman"/>
          <w:lang w:eastAsia="sk-SK"/>
        </w:rPr>
        <w:t>-4/202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1E450BF" w14:textId="1450AD74" w:rsidR="0020728D" w:rsidRPr="0020728D" w:rsidRDefault="007A7E3F" w:rsidP="0020728D">
      <w:pPr>
        <w:spacing w:before="40" w:after="40" w:line="240" w:lineRule="auto"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20728D" w:rsidRPr="0020728D">
        <w:rPr>
          <w:rFonts w:ascii="Times New Roman" w:hAnsi="Times New Roman" w:cs="Times New Roman"/>
        </w:rPr>
        <w:t xml:space="preserve">Číslo oznámenia a číslo a dátum vydania vo Vestníku VO: vestník </w:t>
      </w:r>
    </w:p>
    <w:p w14:paraId="6EFA87BA" w14:textId="5700DAEE" w:rsidR="0020728D" w:rsidRPr="0020728D" w:rsidRDefault="0020728D" w:rsidP="0020728D">
      <w:pPr>
        <w:spacing w:before="40"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20728D">
        <w:rPr>
          <w:rFonts w:ascii="Times New Roman" w:hAnsi="Times New Roman" w:cs="Times New Roman"/>
        </w:rPr>
        <w:t>č. 193/2025 značka 15299-MUT zo dňa  24.09.2025.</w:t>
      </w:r>
    </w:p>
    <w:p w14:paraId="00CDDE91" w14:textId="419115A9" w:rsidR="007A7E3F" w:rsidRPr="0020728D" w:rsidRDefault="0020728D" w:rsidP="0020728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</w:t>
      </w:r>
      <w:r w:rsidRPr="0020728D">
        <w:rPr>
          <w:rFonts w:ascii="Times New Roman" w:eastAsia="Calibri" w:hAnsi="Times New Roman" w:cs="Times New Roman"/>
        </w:rPr>
        <w:t>Vestník EÚ: OJ  S 182/2025  620811-2025 zo dňa 23.09. 2025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1B87EB01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20728D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64655F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782CB5B2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20728D">
        <w:rPr>
          <w:rFonts w:ascii="Times New Roman" w:eastAsia="Times New Roman" w:hAnsi="Times New Roman" w:cs="Times New Roman"/>
          <w:lang w:eastAsia="sk-SK"/>
        </w:rPr>
        <w:t>630</w:t>
      </w:r>
      <w:r w:rsidR="00B82727">
        <w:t xml:space="preserve"> </w:t>
      </w:r>
      <w:r w:rsidR="0020728D">
        <w:t>000</w:t>
      </w:r>
      <w:r w:rsidR="00B82727">
        <w:t>,0</w:t>
      </w:r>
      <w:r w:rsidR="0020728D">
        <w:t>0</w:t>
      </w:r>
      <w:r w:rsidR="00B82727">
        <w:t xml:space="preserve">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6366198C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1</w:t>
      </w:r>
      <w:r w:rsidR="0020728D">
        <w:rPr>
          <w:rFonts w:ascii="Times New Roman" w:eastAsia="Times New Roman" w:hAnsi="Times New Roman" w:cs="Times New Roman"/>
          <w:lang w:eastAsia="sk-SK"/>
        </w:rPr>
        <w:t>0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20728D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1CBD20FA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20728D" w:rsidRPr="00E90C53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20728D">
        <w:rPr>
          <w:rStyle w:val="Hypertextovprepojenie"/>
          <w:rFonts w:ascii="Times New Roman" w:hAnsi="Times New Roman" w:cs="Times New Roman"/>
        </w:rPr>
        <w:t>542955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53962F1C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>Zadávanie zákazky na základe výzvy č.</w:t>
      </w:r>
      <w:r w:rsidR="0020728D">
        <w:rPr>
          <w:rFonts w:ascii="Times New Roman" w:eastAsia="Times New Roman" w:hAnsi="Times New Roman" w:cs="Times New Roman"/>
          <w:lang w:eastAsia="sk-SK"/>
        </w:rPr>
        <w:t>01</w:t>
      </w:r>
      <w:r w:rsidR="00821A6A">
        <w:rPr>
          <w:rFonts w:ascii="Times New Roman" w:eastAsia="Times New Roman" w:hAnsi="Times New Roman" w:cs="Times New Roman"/>
          <w:lang w:eastAsia="sk-SK"/>
        </w:rPr>
        <w:t>(</w:t>
      </w:r>
      <w:r w:rsidR="0020728D">
        <w:rPr>
          <w:rFonts w:ascii="Times New Roman" w:eastAsia="Times New Roman" w:hAnsi="Times New Roman" w:cs="Times New Roman"/>
          <w:lang w:eastAsia="sk-SK"/>
        </w:rPr>
        <w:t>Kancelársky papier</w:t>
      </w:r>
      <w:r w:rsidR="00821A6A">
        <w:rPr>
          <w:rFonts w:ascii="Times New Roman" w:eastAsia="Times New Roman" w:hAnsi="Times New Roman" w:cs="Times New Roman"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20728D">
        <w:rPr>
          <w:rFonts w:ascii="Times New Roman" w:eastAsia="Times New Roman" w:hAnsi="Times New Roman" w:cs="Times New Roman"/>
          <w:lang w:eastAsia="sk-SK"/>
        </w:rPr>
        <w:t>31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20728D">
        <w:rPr>
          <w:rFonts w:ascii="Times New Roman" w:eastAsia="Times New Roman" w:hAnsi="Times New Roman" w:cs="Times New Roman"/>
          <w:lang w:eastAsia="sk-SK"/>
        </w:rPr>
        <w:t>10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2C87B963" w14:textId="7E6E9BB5" w:rsidR="00201EDC" w:rsidRDefault="0020728D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GGT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042CDF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Stará Vajnorská</w:t>
      </w:r>
      <w:r w:rsidR="00B8272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 w:rsidR="00637EDF"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>
        <w:rPr>
          <w:rFonts w:ascii="Times New Roman" w:eastAsia="Times New Roman" w:hAnsi="Times New Roman" w:cs="Times New Roman"/>
          <w:b/>
          <w:bCs/>
          <w:lang w:eastAsia="sk-SK"/>
        </w:rPr>
        <w:t>3</w:t>
      </w:r>
      <w:r w:rsidR="00637EDF">
        <w:rPr>
          <w:rFonts w:ascii="Times New Roman" w:eastAsia="Times New Roman" w:hAnsi="Times New Roman" w:cs="Times New Roman"/>
          <w:b/>
          <w:bCs/>
          <w:lang w:eastAsia="sk-SK"/>
        </w:rPr>
        <w:t>1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lang w:eastAsia="sk-SK"/>
        </w:rPr>
        <w:t>4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637EDF">
        <w:rPr>
          <w:rFonts w:ascii="Times New Roman" w:eastAsia="Times New Roman" w:hAnsi="Times New Roman" w:cs="Times New Roman"/>
          <w:b/>
          <w:bCs/>
          <w:lang w:eastAsia="sk-SK"/>
        </w:rPr>
        <w:t>Bratislava</w:t>
      </w:r>
      <w:r w:rsidR="007A7E3F" w:rsidRPr="00220415">
        <w:rPr>
          <w:rFonts w:ascii="Times New Roman" w:eastAsia="Times New Roman" w:hAnsi="Times New Roman" w:cs="Times New Roman"/>
          <w:bCs/>
          <w:lang w:eastAsia="sk-SK"/>
        </w:rPr>
        <w:t>.</w:t>
      </w:r>
      <w:r w:rsidR="007A7E3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1E431858" w14:textId="099730C6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20728D">
        <w:rPr>
          <w:rFonts w:ascii="Times New Roman" w:eastAsia="Times New Roman" w:hAnsi="Times New Roman" w:cs="Times New Roman"/>
          <w:bCs/>
          <w:lang w:eastAsia="sk-SK"/>
        </w:rPr>
        <w:t>19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20728D">
        <w:rPr>
          <w:rFonts w:ascii="Times New Roman" w:eastAsia="Times New Roman" w:hAnsi="Times New Roman" w:cs="Times New Roman"/>
          <w:bCs/>
          <w:lang w:eastAsia="sk-SK"/>
        </w:rPr>
        <w:t>11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bCs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0321EC88" w14:textId="5B02A2BD" w:rsidR="00201EDC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42 495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12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404E4C85" w14:textId="52E75B5A" w:rsidR="00201EDC" w:rsidRPr="00042CDF" w:rsidRDefault="007A7E3F" w:rsidP="00042CD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GGT</w:t>
      </w:r>
      <w:r w:rsidR="0020728D" w:rsidRP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 xml:space="preserve"> s.r.o.,</w:t>
      </w:r>
      <w:r w:rsidR="0020728D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Stará Vajnorská, 831</w:t>
      </w:r>
      <w:r w:rsidR="0020728D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0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4 Bratislava</w:t>
      </w:r>
      <w:r w:rsidR="00637EDF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14:paraId="0F09BBE4" w14:textId="7F9551E9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20728D">
        <w:rPr>
          <w:rFonts w:ascii="Times New Roman" w:eastAsia="Times New Roman" w:hAnsi="Times New Roman" w:cs="Times New Roman"/>
          <w:b/>
          <w:bCs/>
          <w:lang w:eastAsia="sk-SK"/>
        </w:rPr>
        <w:t>42 495,12</w:t>
      </w:r>
      <w:r w:rsidR="0020728D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7FFA7687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042CDF">
        <w:rPr>
          <w:rFonts w:ascii="Times New Roman" w:eastAsia="Times New Roman" w:hAnsi="Times New Roman" w:cs="Times New Roman"/>
          <w:sz w:val="23"/>
          <w:szCs w:val="23"/>
          <w:lang w:eastAsia="sk-SK"/>
        </w:rPr>
        <w:t>0</w:t>
      </w:r>
      <w:r w:rsidR="0020728D">
        <w:rPr>
          <w:rFonts w:ascii="Times New Roman" w:eastAsia="Times New Roman" w:hAnsi="Times New Roman" w:cs="Times New Roman"/>
          <w:sz w:val="23"/>
          <w:szCs w:val="23"/>
          <w:lang w:eastAsia="sk-SK"/>
        </w:rPr>
        <w:t>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20728D">
        <w:rPr>
          <w:rFonts w:ascii="Times New Roman" w:eastAsia="Times New Roman" w:hAnsi="Times New Roman" w:cs="Times New Roman"/>
          <w:sz w:val="23"/>
          <w:szCs w:val="23"/>
          <w:lang w:eastAsia="sk-SK"/>
        </w:rPr>
        <w:t>12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201EDC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42CDF"/>
    <w:rsid w:val="00201EDC"/>
    <w:rsid w:val="0020728D"/>
    <w:rsid w:val="0024645B"/>
    <w:rsid w:val="00421042"/>
    <w:rsid w:val="004659E2"/>
    <w:rsid w:val="004D3D3F"/>
    <w:rsid w:val="004E031D"/>
    <w:rsid w:val="005679E9"/>
    <w:rsid w:val="00637EDF"/>
    <w:rsid w:val="0064655F"/>
    <w:rsid w:val="006D4510"/>
    <w:rsid w:val="007A7E3F"/>
    <w:rsid w:val="00816008"/>
    <w:rsid w:val="00821A6A"/>
    <w:rsid w:val="00A846DC"/>
    <w:rsid w:val="00AB777E"/>
    <w:rsid w:val="00B82727"/>
    <w:rsid w:val="00CB3F33"/>
    <w:rsid w:val="00D67A2B"/>
    <w:rsid w:val="00E12E0D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33</cp:revision>
  <cp:lastPrinted>2025-12-02T13:08:00Z</cp:lastPrinted>
  <dcterms:created xsi:type="dcterms:W3CDTF">2024-02-21T06:55:00Z</dcterms:created>
  <dcterms:modified xsi:type="dcterms:W3CDTF">2025-12-02T13:09:00Z</dcterms:modified>
</cp:coreProperties>
</file>