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1392DD09" w:rsidR="00E11E5E" w:rsidRPr="00A57D71" w:rsidRDefault="00E11E5E" w:rsidP="00E11E5E">
      <w:pPr>
        <w:jc w:val="center"/>
        <w:rPr>
          <w:rFonts w:cs="Arial"/>
          <w:sz w:val="24"/>
        </w:rPr>
      </w:pPr>
      <w:r w:rsidRPr="00A57D71">
        <w:rPr>
          <w:rFonts w:cs="Arial"/>
          <w:sz w:val="24"/>
        </w:rPr>
        <w:t xml:space="preserve">v zmysle § </w:t>
      </w:r>
      <w:r w:rsidR="00BE4ECB">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02ED72E" w:rsidR="00F7419F" w:rsidRPr="00A57D71" w:rsidRDefault="005569A4" w:rsidP="00BE4ECB">
            <w:pPr>
              <w:spacing w:after="0" w:line="360" w:lineRule="auto"/>
              <w:jc w:val="both"/>
              <w:rPr>
                <w:highlight w:val="yellow"/>
              </w:rPr>
            </w:pPr>
            <w:r w:rsidRPr="00BE4E78">
              <w:rPr>
                <w:highlight w:val="yellow"/>
              </w:rPr>
              <w:t>Ing.</w:t>
            </w:r>
            <w:r w:rsidR="00C90C5D" w:rsidRPr="00BE4E78">
              <w:rPr>
                <w:highlight w:val="yellow"/>
              </w:rPr>
              <w:t xml:space="preserve"> </w:t>
            </w:r>
            <w:r w:rsidR="00BE4ECB">
              <w:rPr>
                <w:highlight w:val="yellow"/>
              </w:rPr>
              <w:t>Robert Brodziansky</w:t>
            </w:r>
            <w:r w:rsidRPr="00BE4E78">
              <w:rPr>
                <w:highlight w:val="yellow"/>
              </w:rPr>
              <w:t xml:space="preserve"> </w:t>
            </w:r>
            <w:r w:rsidR="001F0411" w:rsidRPr="00BE4E78">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C0DB55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940AB4">
        <w:rPr>
          <w:rFonts w:cs="Arial"/>
          <w:szCs w:val="20"/>
          <w:highlight w:val="yellow"/>
        </w:rPr>
        <w:t>výzva č.</w:t>
      </w:r>
      <w:r w:rsidR="00AF7BCD">
        <w:rPr>
          <w:rFonts w:cs="Arial"/>
          <w:szCs w:val="20"/>
          <w:highlight w:val="yellow"/>
        </w:rPr>
        <w:t>5</w:t>
      </w:r>
      <w:r w:rsidR="00DA5739">
        <w:rPr>
          <w:rFonts w:cs="Arial"/>
          <w:szCs w:val="20"/>
          <w:highlight w:val="yellow"/>
        </w:rPr>
        <w:t>9</w:t>
      </w:r>
      <w:r w:rsidR="001F0411" w:rsidRPr="00940AB4">
        <w:rPr>
          <w:rFonts w:cs="Arial"/>
          <w:szCs w:val="20"/>
          <w:highlight w:val="yellow"/>
        </w:rPr>
        <w:t>/2</w:t>
      </w:r>
      <w:r w:rsidR="00AF7BCD">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7BD38F7" w:rsidR="00E11E5E" w:rsidRDefault="00E11E5E" w:rsidP="00E11E5E">
      <w:pPr>
        <w:spacing w:after="0"/>
        <w:jc w:val="both"/>
        <w:rPr>
          <w:rFonts w:cs="Arial"/>
          <w:bCs/>
          <w:szCs w:val="20"/>
        </w:rPr>
      </w:pPr>
      <w:r w:rsidRPr="007D2BC9">
        <w:rPr>
          <w:rFonts w:cs="Arial"/>
          <w:bCs/>
          <w:szCs w:val="20"/>
          <w:highlight w:val="yellow"/>
        </w:rPr>
        <w:t xml:space="preserve">Suma: </w:t>
      </w:r>
      <w:r w:rsidR="00AF7BCD">
        <w:rPr>
          <w:rFonts w:cs="Arial"/>
          <w:bCs/>
          <w:szCs w:val="20"/>
          <w:highlight w:val="yellow"/>
        </w:rPr>
        <w:t>9800</w:t>
      </w:r>
      <w:r w:rsidR="00C90C5D" w:rsidRPr="007D2BC9">
        <w:rPr>
          <w:rFonts w:cs="Arial"/>
          <w:bCs/>
          <w:szCs w:val="20"/>
          <w:highlight w:val="yellow"/>
        </w:rPr>
        <w:t>,00</w:t>
      </w:r>
      <w:r w:rsidRPr="007D2BC9">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303AF1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DA5739">
        <w:rPr>
          <w:rFonts w:cs="Arial"/>
          <w:szCs w:val="20"/>
          <w:highlight w:val="yellow"/>
        </w:rPr>
        <w:t>6</w:t>
      </w:r>
      <w:r w:rsidR="005569A4" w:rsidRPr="001F0411">
        <w:rPr>
          <w:rFonts w:cs="Arial"/>
          <w:szCs w:val="20"/>
          <w:highlight w:val="yellow"/>
        </w:rPr>
        <w:t>.202</w:t>
      </w:r>
      <w:r w:rsidR="007A5A20">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6A04E0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A5739">
        <w:rPr>
          <w:rFonts w:ascii="Arial" w:hAnsi="Arial" w:cs="Arial"/>
          <w:sz w:val="20"/>
          <w:lang w:val="sk-SK"/>
        </w:rPr>
        <w:t>8</w:t>
      </w:r>
      <w:r w:rsidR="00C314F7" w:rsidRPr="001F0411">
        <w:rPr>
          <w:rFonts w:ascii="Arial" w:hAnsi="Arial" w:cs="Arial"/>
          <w:sz w:val="20"/>
          <w:highlight w:val="yellow"/>
          <w:lang w:val="sk-SK"/>
        </w:rPr>
        <w:t>.</w:t>
      </w:r>
      <w:r w:rsidR="00DA5739">
        <w:rPr>
          <w:rFonts w:ascii="Arial" w:hAnsi="Arial" w:cs="Arial"/>
          <w:sz w:val="20"/>
          <w:highlight w:val="yellow"/>
          <w:lang w:val="sk-SK"/>
        </w:rPr>
        <w:t>12</w:t>
      </w:r>
      <w:r w:rsidR="00C314F7" w:rsidRPr="001F0411">
        <w:rPr>
          <w:rFonts w:ascii="Arial" w:hAnsi="Arial" w:cs="Arial"/>
          <w:sz w:val="20"/>
          <w:highlight w:val="yellow"/>
          <w:lang w:val="sk-SK"/>
        </w:rPr>
        <w:t>.202</w:t>
      </w:r>
      <w:r w:rsidR="00AF7BCD">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B29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8CACC81" w:rsidR="0047462C" w:rsidRPr="00A57D71" w:rsidRDefault="0047462C" w:rsidP="0047462C">
      <w:pPr>
        <w:spacing w:after="0"/>
        <w:jc w:val="both"/>
      </w:pPr>
      <w:r w:rsidRPr="00A57D71">
        <w:rPr>
          <w:rFonts w:eastAsia="TimesNewRomanPSMT"/>
        </w:rPr>
        <w:t xml:space="preserve">Otváranie ponúk sa uskutoční elektronicky dňa  </w:t>
      </w:r>
      <w:r w:rsidR="00DA5739">
        <w:rPr>
          <w:rFonts w:eastAsia="TimesNewRomanPSMT"/>
        </w:rPr>
        <w:t>8</w:t>
      </w:r>
      <w:r w:rsidR="00C314F7" w:rsidRPr="002D47F2">
        <w:rPr>
          <w:rFonts w:eastAsia="TimesNewRomanPSMT"/>
          <w:highlight w:val="yellow"/>
        </w:rPr>
        <w:t>.</w:t>
      </w:r>
      <w:r w:rsidR="00DA5739">
        <w:rPr>
          <w:rFonts w:eastAsia="TimesNewRomanPSMT"/>
          <w:highlight w:val="yellow"/>
        </w:rPr>
        <w:t>12</w:t>
      </w:r>
      <w:r w:rsidR="00C314F7" w:rsidRPr="002D47F2">
        <w:rPr>
          <w:rFonts w:eastAsia="TimesNewRomanPSMT"/>
          <w:highlight w:val="yellow"/>
        </w:rPr>
        <w:t>.202</w:t>
      </w:r>
      <w:r w:rsidR="00AF7BCD">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0457B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44074E0" w:rsidR="005337B7" w:rsidRPr="00BE4ECB" w:rsidRDefault="00BE4ECB" w:rsidP="00C82548">
            <w:pPr>
              <w:spacing w:after="0" w:line="360" w:lineRule="auto"/>
              <w:ind w:firstLine="40"/>
              <w:jc w:val="both"/>
              <w:rPr>
                <w:rFonts w:cs="Arial"/>
                <w:szCs w:val="20"/>
                <w:highlight w:val="yellow"/>
              </w:rPr>
            </w:pPr>
            <w:r w:rsidRPr="00BE4ECB">
              <w:rPr>
                <w:rFonts w:cs="Arial"/>
                <w:szCs w:val="20"/>
                <w:highlight w:val="yellow"/>
              </w:rPr>
              <w:t xml:space="preserve">Ing. Robert Brodziansky </w:t>
            </w:r>
            <w:r w:rsidR="00227E0D" w:rsidRPr="00BE4ECB">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8674A71"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AF7BCD">
        <w:rPr>
          <w:rFonts w:ascii="Arial" w:hAnsi="Arial" w:cs="Arial"/>
          <w:sz w:val="20"/>
          <w:highlight w:val="yellow"/>
          <w:lang w:val="sk-SK"/>
        </w:rPr>
        <w:t>5</w:t>
      </w:r>
      <w:r w:rsidR="00DA5739">
        <w:rPr>
          <w:rFonts w:ascii="Arial" w:hAnsi="Arial" w:cs="Arial"/>
          <w:sz w:val="20"/>
          <w:highlight w:val="yellow"/>
          <w:lang w:val="sk-SK"/>
        </w:rPr>
        <w:t>9</w:t>
      </w:r>
      <w:r w:rsidR="00227E0D" w:rsidRPr="00227E0D">
        <w:rPr>
          <w:rFonts w:ascii="Arial" w:hAnsi="Arial" w:cs="Arial"/>
          <w:sz w:val="20"/>
          <w:highlight w:val="yellow"/>
          <w:lang w:val="sk-SK"/>
        </w:rPr>
        <w:t>/2</w:t>
      </w:r>
      <w:r w:rsidR="00AF7BCD">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16598F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A5739">
        <w:rPr>
          <w:rFonts w:ascii="Arial" w:hAnsi="Arial" w:cs="Arial"/>
          <w:sz w:val="20"/>
          <w:lang w:val="sk-SK"/>
        </w:rPr>
        <w:t>30</w:t>
      </w:r>
      <w:r w:rsidR="009A7C39" w:rsidRPr="00227E0D">
        <w:rPr>
          <w:rFonts w:ascii="Arial" w:hAnsi="Arial" w:cs="Arial"/>
          <w:sz w:val="20"/>
          <w:highlight w:val="yellow"/>
          <w:lang w:val="sk-SK"/>
        </w:rPr>
        <w:t>.</w:t>
      </w:r>
      <w:r w:rsidR="00DA5739">
        <w:rPr>
          <w:rFonts w:ascii="Arial" w:hAnsi="Arial" w:cs="Arial"/>
          <w:sz w:val="20"/>
          <w:highlight w:val="yellow"/>
          <w:lang w:val="sk-SK"/>
        </w:rPr>
        <w:t>6</w:t>
      </w:r>
      <w:r w:rsidR="009A7C39" w:rsidRPr="00227E0D">
        <w:rPr>
          <w:rFonts w:ascii="Arial" w:hAnsi="Arial" w:cs="Arial"/>
          <w:sz w:val="20"/>
          <w:highlight w:val="yellow"/>
          <w:lang w:val="sk-SK"/>
        </w:rPr>
        <w:t>.202</w:t>
      </w:r>
      <w:r w:rsidR="007A5A20">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6D0CEADB" w14:textId="77777777" w:rsidR="00BE4ECB" w:rsidRDefault="00BE4ECB" w:rsidP="00227E0D">
            <w:pPr>
              <w:tabs>
                <w:tab w:val="left" w:pos="709"/>
                <w:tab w:val="left" w:pos="5387"/>
              </w:tabs>
              <w:spacing w:after="0"/>
              <w:jc w:val="center"/>
              <w:rPr>
                <w:rFonts w:eastAsia="Calibri" w:cs="Arial"/>
                <w:b/>
                <w:szCs w:val="20"/>
                <w:highlight w:val="yellow"/>
              </w:rPr>
            </w:pPr>
            <w:r w:rsidRPr="00BE4ECB">
              <w:rPr>
                <w:rFonts w:eastAsia="Calibri" w:cs="Arial"/>
                <w:b/>
                <w:szCs w:val="20"/>
              </w:rPr>
              <w:t>Ing. Robert Brodziansky</w:t>
            </w:r>
            <w:r w:rsidRPr="00BE4ECB">
              <w:rPr>
                <w:rFonts w:eastAsia="Calibri" w:cs="Arial"/>
                <w:b/>
                <w:szCs w:val="20"/>
                <w:highlight w:val="yellow"/>
              </w:rPr>
              <w:t xml:space="preserve"> </w:t>
            </w:r>
          </w:p>
          <w:p w14:paraId="74FA4C45" w14:textId="1EB0507F" w:rsidR="005337B7" w:rsidRPr="00A57D71" w:rsidRDefault="00227E0D" w:rsidP="00227E0D">
            <w:pPr>
              <w:tabs>
                <w:tab w:val="left" w:pos="709"/>
                <w:tab w:val="left" w:pos="5387"/>
              </w:tabs>
              <w:spacing w:after="0"/>
              <w:jc w:val="center"/>
              <w:rPr>
                <w:rFonts w:cs="Arial"/>
                <w:szCs w:val="20"/>
              </w:rPr>
            </w:pPr>
            <w:r w:rsidRPr="00BE4E78">
              <w:rPr>
                <w:rFonts w:eastAsia="Calibri" w:cs="Arial"/>
                <w:szCs w:val="20"/>
                <w:highlight w:val="yellow"/>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ABB9" w14:textId="77777777" w:rsidR="0095208E" w:rsidRDefault="0095208E">
      <w:r>
        <w:separator/>
      </w:r>
    </w:p>
  </w:endnote>
  <w:endnote w:type="continuationSeparator" w:id="0">
    <w:p w14:paraId="7EF6DD2E" w14:textId="77777777" w:rsidR="0095208E" w:rsidRDefault="0095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30E713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F7BC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F7BCD">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3D50" w14:textId="77777777" w:rsidR="0095208E" w:rsidRDefault="0095208E">
      <w:r>
        <w:separator/>
      </w:r>
    </w:p>
  </w:footnote>
  <w:footnote w:type="continuationSeparator" w:id="0">
    <w:p w14:paraId="34282A55" w14:textId="77777777" w:rsidR="0095208E" w:rsidRDefault="0095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6174545">
    <w:abstractNumId w:val="63"/>
  </w:num>
  <w:num w:numId="2" w16cid:durableId="84544034">
    <w:abstractNumId w:val="62"/>
  </w:num>
  <w:num w:numId="3" w16cid:durableId="1538851742">
    <w:abstractNumId w:val="78"/>
  </w:num>
  <w:num w:numId="4" w16cid:durableId="448355694">
    <w:abstractNumId w:val="40"/>
  </w:num>
  <w:num w:numId="5" w16cid:durableId="173535255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17874217">
    <w:abstractNumId w:val="32"/>
  </w:num>
  <w:num w:numId="7" w16cid:durableId="2020038774">
    <w:abstractNumId w:val="3"/>
  </w:num>
  <w:num w:numId="8" w16cid:durableId="2140368109">
    <w:abstractNumId w:val="20"/>
  </w:num>
  <w:num w:numId="9" w16cid:durableId="847716831">
    <w:abstractNumId w:val="34"/>
  </w:num>
  <w:num w:numId="10" w16cid:durableId="369457769">
    <w:abstractNumId w:val="43"/>
  </w:num>
  <w:num w:numId="11" w16cid:durableId="862747911">
    <w:abstractNumId w:val="19"/>
  </w:num>
  <w:num w:numId="12" w16cid:durableId="1423835561">
    <w:abstractNumId w:val="50"/>
  </w:num>
  <w:num w:numId="13" w16cid:durableId="1227452793">
    <w:abstractNumId w:val="82"/>
  </w:num>
  <w:num w:numId="14" w16cid:durableId="1450901568">
    <w:abstractNumId w:val="21"/>
  </w:num>
  <w:num w:numId="15" w16cid:durableId="1023553212">
    <w:abstractNumId w:val="98"/>
  </w:num>
  <w:num w:numId="16" w16cid:durableId="1983075224">
    <w:abstractNumId w:val="29"/>
  </w:num>
  <w:num w:numId="17" w16cid:durableId="427117068">
    <w:abstractNumId w:val="4"/>
  </w:num>
  <w:num w:numId="18" w16cid:durableId="188109938">
    <w:abstractNumId w:val="28"/>
  </w:num>
  <w:num w:numId="19" w16cid:durableId="1112241161">
    <w:abstractNumId w:val="27"/>
  </w:num>
  <w:num w:numId="20" w16cid:durableId="601648591">
    <w:abstractNumId w:val="6"/>
  </w:num>
  <w:num w:numId="21" w16cid:durableId="1586573768">
    <w:abstractNumId w:val="66"/>
  </w:num>
  <w:num w:numId="22" w16cid:durableId="1148008853">
    <w:abstractNumId w:val="17"/>
  </w:num>
  <w:num w:numId="23" w16cid:durableId="705787739">
    <w:abstractNumId w:val="42"/>
  </w:num>
  <w:num w:numId="24" w16cid:durableId="2072995754">
    <w:abstractNumId w:val="97"/>
  </w:num>
  <w:num w:numId="25" w16cid:durableId="861867619">
    <w:abstractNumId w:val="60"/>
  </w:num>
  <w:num w:numId="26" w16cid:durableId="1844662534">
    <w:abstractNumId w:val="96"/>
  </w:num>
  <w:num w:numId="27" w16cid:durableId="870994545">
    <w:abstractNumId w:val="93"/>
  </w:num>
  <w:num w:numId="28" w16cid:durableId="722018614">
    <w:abstractNumId w:val="47"/>
  </w:num>
  <w:num w:numId="29" w16cid:durableId="1961957571">
    <w:abstractNumId w:val="68"/>
  </w:num>
  <w:num w:numId="30" w16cid:durableId="590354746">
    <w:abstractNumId w:val="88"/>
  </w:num>
  <w:num w:numId="31" w16cid:durableId="1012222651">
    <w:abstractNumId w:val="56"/>
  </w:num>
  <w:num w:numId="32" w16cid:durableId="814570629">
    <w:abstractNumId w:val="36"/>
  </w:num>
  <w:num w:numId="33" w16cid:durableId="355078235">
    <w:abstractNumId w:val="72"/>
  </w:num>
  <w:num w:numId="34" w16cid:durableId="1928229336">
    <w:abstractNumId w:val="26"/>
  </w:num>
  <w:num w:numId="35" w16cid:durableId="527790961">
    <w:abstractNumId w:val="57"/>
  </w:num>
  <w:num w:numId="36" w16cid:durableId="1538154744">
    <w:abstractNumId w:val="38"/>
  </w:num>
  <w:num w:numId="37" w16cid:durableId="308247066">
    <w:abstractNumId w:val="69"/>
  </w:num>
  <w:num w:numId="38" w16cid:durableId="1068646399">
    <w:abstractNumId w:val="75"/>
  </w:num>
  <w:num w:numId="39" w16cid:durableId="19665032">
    <w:abstractNumId w:val="103"/>
  </w:num>
  <w:num w:numId="40" w16cid:durableId="975184567">
    <w:abstractNumId w:val="8"/>
  </w:num>
  <w:num w:numId="41" w16cid:durableId="1712069147">
    <w:abstractNumId w:val="80"/>
  </w:num>
  <w:num w:numId="42" w16cid:durableId="792484939">
    <w:abstractNumId w:val="35"/>
  </w:num>
  <w:num w:numId="43" w16cid:durableId="1642727640">
    <w:abstractNumId w:val="67"/>
  </w:num>
  <w:num w:numId="44" w16cid:durableId="847594907">
    <w:abstractNumId w:val="30"/>
  </w:num>
  <w:num w:numId="45" w16cid:durableId="1614752429">
    <w:abstractNumId w:val="55"/>
  </w:num>
  <w:num w:numId="46" w16cid:durableId="1003629476">
    <w:abstractNumId w:val="83"/>
  </w:num>
  <w:num w:numId="47" w16cid:durableId="231935918">
    <w:abstractNumId w:val="81"/>
  </w:num>
  <w:num w:numId="48" w16cid:durableId="1144852890">
    <w:abstractNumId w:val="52"/>
  </w:num>
  <w:num w:numId="49" w16cid:durableId="1959025317">
    <w:abstractNumId w:val="2"/>
  </w:num>
  <w:num w:numId="50" w16cid:durableId="613633157">
    <w:abstractNumId w:val="64"/>
  </w:num>
  <w:num w:numId="51" w16cid:durableId="737215638">
    <w:abstractNumId w:val="92"/>
  </w:num>
  <w:num w:numId="52" w16cid:durableId="1807815345">
    <w:abstractNumId w:val="53"/>
  </w:num>
  <w:num w:numId="53" w16cid:durableId="1034159596">
    <w:abstractNumId w:val="51"/>
  </w:num>
  <w:num w:numId="54" w16cid:durableId="1289969845">
    <w:abstractNumId w:val="7"/>
  </w:num>
  <w:num w:numId="55" w16cid:durableId="1476602661">
    <w:abstractNumId w:val="54"/>
  </w:num>
  <w:num w:numId="56" w16cid:durableId="1288661605">
    <w:abstractNumId w:val="11"/>
  </w:num>
  <w:num w:numId="57" w16cid:durableId="1292905886">
    <w:abstractNumId w:val="16"/>
  </w:num>
  <w:num w:numId="58" w16cid:durableId="556744565">
    <w:abstractNumId w:val="23"/>
  </w:num>
  <w:num w:numId="59" w16cid:durableId="1507087301">
    <w:abstractNumId w:val="94"/>
  </w:num>
  <w:num w:numId="60" w16cid:durableId="1934506977">
    <w:abstractNumId w:val="22"/>
  </w:num>
  <w:num w:numId="61" w16cid:durableId="411121067">
    <w:abstractNumId w:val="46"/>
  </w:num>
  <w:num w:numId="62" w16cid:durableId="434400246">
    <w:abstractNumId w:val="59"/>
  </w:num>
  <w:num w:numId="63" w16cid:durableId="241525361">
    <w:abstractNumId w:val="58"/>
  </w:num>
  <w:num w:numId="64" w16cid:durableId="1472601617">
    <w:abstractNumId w:val="70"/>
  </w:num>
  <w:num w:numId="65" w16cid:durableId="112486349">
    <w:abstractNumId w:val="102"/>
  </w:num>
  <w:num w:numId="66" w16cid:durableId="1479417115">
    <w:abstractNumId w:val="39"/>
  </w:num>
  <w:num w:numId="67" w16cid:durableId="2127306422">
    <w:abstractNumId w:val="90"/>
  </w:num>
  <w:num w:numId="68" w16cid:durableId="64307748">
    <w:abstractNumId w:val="79"/>
  </w:num>
  <w:num w:numId="69" w16cid:durableId="497161442">
    <w:abstractNumId w:val="44"/>
  </w:num>
  <w:num w:numId="70" w16cid:durableId="16198656">
    <w:abstractNumId w:val="85"/>
  </w:num>
  <w:num w:numId="71" w16cid:durableId="30109091">
    <w:abstractNumId w:val="100"/>
  </w:num>
  <w:num w:numId="72" w16cid:durableId="1269656680">
    <w:abstractNumId w:val="87"/>
  </w:num>
  <w:num w:numId="73" w16cid:durableId="1903831154">
    <w:abstractNumId w:val="24"/>
  </w:num>
  <w:num w:numId="74" w16cid:durableId="356123217">
    <w:abstractNumId w:val="71"/>
  </w:num>
  <w:num w:numId="75" w16cid:durableId="1458989882">
    <w:abstractNumId w:val="84"/>
  </w:num>
  <w:num w:numId="76" w16cid:durableId="433012748">
    <w:abstractNumId w:val="18"/>
  </w:num>
  <w:num w:numId="77" w16cid:durableId="1448238003">
    <w:abstractNumId w:val="48"/>
  </w:num>
  <w:num w:numId="78" w16cid:durableId="182129881">
    <w:abstractNumId w:val="61"/>
  </w:num>
  <w:num w:numId="79" w16cid:durableId="365564910">
    <w:abstractNumId w:val="15"/>
  </w:num>
  <w:num w:numId="80" w16cid:durableId="2089500534">
    <w:abstractNumId w:val="5"/>
  </w:num>
  <w:num w:numId="81" w16cid:durableId="909847983">
    <w:abstractNumId w:val="91"/>
  </w:num>
  <w:num w:numId="82" w16cid:durableId="517815036">
    <w:abstractNumId w:val="45"/>
  </w:num>
  <w:num w:numId="83" w16cid:durableId="1376005735">
    <w:abstractNumId w:val="95"/>
  </w:num>
  <w:num w:numId="84" w16cid:durableId="2134013027">
    <w:abstractNumId w:val="9"/>
  </w:num>
  <w:num w:numId="85" w16cid:durableId="1492602989">
    <w:abstractNumId w:val="33"/>
  </w:num>
  <w:num w:numId="86" w16cid:durableId="425884712">
    <w:abstractNumId w:val="37"/>
  </w:num>
  <w:num w:numId="87" w16cid:durableId="2058164149">
    <w:abstractNumId w:val="73"/>
  </w:num>
  <w:num w:numId="88" w16cid:durableId="1340156418">
    <w:abstractNumId w:val="41"/>
  </w:num>
  <w:num w:numId="89" w16cid:durableId="866017777">
    <w:abstractNumId w:val="25"/>
  </w:num>
  <w:num w:numId="90" w16cid:durableId="1182741298">
    <w:abstractNumId w:val="31"/>
  </w:num>
  <w:num w:numId="91" w16cid:durableId="1539926680">
    <w:abstractNumId w:val="14"/>
  </w:num>
  <w:num w:numId="92" w16cid:durableId="1221986175">
    <w:abstractNumId w:val="10"/>
  </w:num>
  <w:num w:numId="93" w16cid:durableId="494341798">
    <w:abstractNumId w:val="13"/>
  </w:num>
  <w:num w:numId="94" w16cid:durableId="1893467877">
    <w:abstractNumId w:val="89"/>
  </w:num>
  <w:num w:numId="95" w16cid:durableId="911088281">
    <w:abstractNumId w:val="12"/>
  </w:num>
  <w:num w:numId="96" w16cid:durableId="158011208">
    <w:abstractNumId w:val="101"/>
  </w:num>
  <w:num w:numId="97" w16cid:durableId="1435321396">
    <w:abstractNumId w:val="49"/>
  </w:num>
  <w:num w:numId="98" w16cid:durableId="1348681441">
    <w:abstractNumId w:val="74"/>
  </w:num>
  <w:num w:numId="99" w16cid:durableId="1308169442">
    <w:abstractNumId w:val="65"/>
  </w:num>
  <w:num w:numId="100" w16cid:durableId="447966115">
    <w:abstractNumId w:val="76"/>
  </w:num>
  <w:num w:numId="101" w16cid:durableId="99184271">
    <w:abstractNumId w:val="99"/>
  </w:num>
  <w:num w:numId="102" w16cid:durableId="11863629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504464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7B2"/>
    <w:rsid w:val="00045833"/>
    <w:rsid w:val="00046956"/>
    <w:rsid w:val="00046AA6"/>
    <w:rsid w:val="0004760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394"/>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5D8F"/>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E2"/>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3F5"/>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3FE9"/>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C39"/>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2D"/>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80F"/>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3F12"/>
    <w:rsid w:val="007943BA"/>
    <w:rsid w:val="00794AA1"/>
    <w:rsid w:val="00794D01"/>
    <w:rsid w:val="00795545"/>
    <w:rsid w:val="00795747"/>
    <w:rsid w:val="00795DB6"/>
    <w:rsid w:val="00795F36"/>
    <w:rsid w:val="0079683D"/>
    <w:rsid w:val="007969A4"/>
    <w:rsid w:val="007971FE"/>
    <w:rsid w:val="007A00F0"/>
    <w:rsid w:val="007A09BD"/>
    <w:rsid w:val="007A0D41"/>
    <w:rsid w:val="007A0E3D"/>
    <w:rsid w:val="007A1E68"/>
    <w:rsid w:val="007A269C"/>
    <w:rsid w:val="007A2864"/>
    <w:rsid w:val="007A2881"/>
    <w:rsid w:val="007A373B"/>
    <w:rsid w:val="007A3924"/>
    <w:rsid w:val="007A5A2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2BC9"/>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94A"/>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AB4"/>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08E"/>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BCD"/>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50D"/>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78"/>
    <w:rsid w:val="00BE4ECB"/>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548"/>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73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562"/>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2B5B-FC5A-43CA-929D-2CA98D0C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6229</Words>
  <Characters>35510</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2020-10-12T12:16:00Z</cp:lastPrinted>
  <dcterms:created xsi:type="dcterms:W3CDTF">2024-06-07T09:03:00Z</dcterms:created>
  <dcterms:modified xsi:type="dcterms:W3CDTF">2025-11-25T09:31:00Z</dcterms:modified>
  <cp:category>EIZ</cp:category>
</cp:coreProperties>
</file>