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645452DE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>Názov predmetu zákazky:</w:t>
      </w:r>
      <w:r w:rsidR="00F058BB" w:rsidRPr="00221476">
        <w:rPr>
          <w:rFonts w:ascii="Times New Roman" w:hAnsi="Times New Roman" w:cs="Times New Roman"/>
          <w:sz w:val="22"/>
          <w:szCs w:val="22"/>
        </w:rPr>
        <w:t xml:space="preserve"> </w:t>
      </w:r>
      <w:r w:rsidR="00F058BB" w:rsidRPr="00DE4482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DE4482" w:rsidRPr="00DE4482">
        <w:rPr>
          <w:rFonts w:ascii="Times New Roman" w:hAnsi="Times New Roman" w:cs="Times New Roman"/>
          <w:b/>
          <w:bCs/>
          <w:sz w:val="22"/>
          <w:szCs w:val="22"/>
        </w:rPr>
        <w:t>Opravy a ošetr</w:t>
      </w:r>
      <w:r w:rsidR="00FC1684">
        <w:rPr>
          <w:rFonts w:ascii="Times New Roman" w:hAnsi="Times New Roman" w:cs="Times New Roman"/>
          <w:b/>
          <w:bCs/>
          <w:sz w:val="22"/>
          <w:szCs w:val="22"/>
        </w:rPr>
        <w:t>ovanie</w:t>
      </w:r>
      <w:r w:rsidR="006E7151" w:rsidRPr="006E71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A2212">
        <w:rPr>
          <w:rFonts w:ascii="Times New Roman" w:hAnsi="Times New Roman" w:cs="Times New Roman"/>
          <w:b/>
          <w:bCs/>
          <w:sz w:val="22"/>
          <w:szCs w:val="22"/>
        </w:rPr>
        <w:t>autobusov</w:t>
      </w:r>
      <w:r w:rsidR="00E57BE0" w:rsidRPr="006E7151">
        <w:rPr>
          <w:rFonts w:ascii="Times New Roman" w:hAnsi="Times New Roman" w:cs="Times New Roman"/>
          <w:b/>
          <w:bCs/>
          <w:sz w:val="22"/>
        </w:rPr>
        <w:t xml:space="preserve"> </w:t>
      </w:r>
      <w:r w:rsidR="00E57BE0" w:rsidRPr="00D13D14">
        <w:rPr>
          <w:rFonts w:ascii="Times New Roman" w:hAnsi="Times New Roman" w:cs="Times New Roman"/>
          <w:b/>
          <w:bCs/>
          <w:sz w:val="22"/>
        </w:rPr>
        <w:t>– DNS</w:t>
      </w:r>
      <w:r w:rsidR="006B1457" w:rsidRPr="00221476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43668045" w:rsidR="00774762" w:rsidRPr="00CC7FB2" w:rsidRDefault="00774762" w:rsidP="00DE4482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:</w:t>
      </w:r>
      <w:r w:rsidRPr="006E7151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DE4482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2 089 583</w:t>
      </w:r>
      <w:r w:rsidR="00B63C4A" w:rsidRPr="00CC7FB2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C7FB2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  <w:r w:rsidR="00DE448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25"/>
      </w:tblGrid>
      <w:tr w:rsidR="00607652" w:rsidRPr="00DE4482" w14:paraId="235E123C" w14:textId="77777777" w:rsidTr="00183F42">
        <w:trPr>
          <w:trHeight w:val="2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F11EC" w14:textId="73725D8C" w:rsidR="00607652" w:rsidRPr="00DE4482" w:rsidRDefault="00DE4482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E4482">
              <w:rPr>
                <w:rFonts w:ascii="Times New Roman" w:hAnsi="Times New Roman"/>
                <w:sz w:val="22"/>
                <w:szCs w:val="22"/>
              </w:rPr>
              <w:t xml:space="preserve">50113100-1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F86AA" w14:textId="59FAA37D" w:rsidR="00607652" w:rsidRPr="00DE4482" w:rsidRDefault="00DE4482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E4482">
              <w:rPr>
                <w:rFonts w:ascii="Times New Roman" w:hAnsi="Times New Roman"/>
                <w:sz w:val="22"/>
                <w:szCs w:val="22"/>
              </w:rPr>
              <w:t xml:space="preserve">Oprava autobusov  </w:t>
            </w:r>
          </w:p>
        </w:tc>
      </w:tr>
      <w:tr w:rsidR="002724A4" w:rsidRPr="00DE4482" w14:paraId="4B487AE3" w14:textId="77777777" w:rsidTr="00183F42">
        <w:trPr>
          <w:trHeight w:val="2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465A3" w14:textId="4B0DBB0C" w:rsidR="00BC38CC" w:rsidRPr="00DE4482" w:rsidRDefault="00DE4482" w:rsidP="00BC38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E4482">
              <w:rPr>
                <w:rFonts w:ascii="Times New Roman" w:hAnsi="Times New Roman"/>
                <w:sz w:val="22"/>
                <w:szCs w:val="22"/>
              </w:rPr>
              <w:t>50113200-2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BD78A" w14:textId="50C9EC10" w:rsidR="002724A4" w:rsidRPr="00DE4482" w:rsidRDefault="00DE4482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E4482">
              <w:rPr>
                <w:rFonts w:ascii="Times New Roman" w:hAnsi="Times New Roman"/>
                <w:sz w:val="22"/>
                <w:szCs w:val="22"/>
              </w:rPr>
              <w:t>Údr</w:t>
            </w:r>
            <w:r w:rsidRPr="00DE4482"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Pr="00DE4482">
              <w:rPr>
                <w:rFonts w:ascii="Times New Roman" w:hAnsi="Times New Roman"/>
                <w:sz w:val="22"/>
                <w:szCs w:val="22"/>
              </w:rPr>
              <w:t>ba autobusov</w:t>
            </w:r>
          </w:p>
        </w:tc>
      </w:tr>
    </w:tbl>
    <w:p w14:paraId="42C725CE" w14:textId="71B963B5" w:rsidR="00607652" w:rsidRDefault="00607652" w:rsidP="001D2952">
      <w:pPr>
        <w:rPr>
          <w:rFonts w:ascii="Times New Roman" w:hAnsi="Times New Roman"/>
          <w:sz w:val="22"/>
          <w:szCs w:val="22"/>
        </w:rPr>
      </w:pPr>
    </w:p>
    <w:p w14:paraId="4FAC5BEA" w14:textId="1F6F7E6A" w:rsidR="00822852" w:rsidRPr="00FC5D89" w:rsidRDefault="00987A0F" w:rsidP="002C4F91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FC5D89">
        <w:rPr>
          <w:rFonts w:ascii="Times New Roman" w:eastAsiaTheme="minorHAnsi" w:hAnsi="Times New Roman"/>
          <w:sz w:val="22"/>
          <w:szCs w:val="22"/>
          <w:lang w:eastAsia="en-US"/>
        </w:rPr>
        <w:t xml:space="preserve">Predmetom zákazky je </w:t>
      </w:r>
      <w:r w:rsidR="00447048" w:rsidRPr="00FC5D89">
        <w:rPr>
          <w:rFonts w:ascii="Times New Roman" w:eastAsiaTheme="minorHAnsi" w:hAnsi="Times New Roman"/>
          <w:sz w:val="22"/>
          <w:szCs w:val="22"/>
          <w:lang w:eastAsia="en-US"/>
        </w:rPr>
        <w:t>zriadenie dynamického nákupného systému na poskytovanie služieb spo</w:t>
      </w:r>
      <w:r w:rsidR="00BD7720" w:rsidRPr="00FC5D89">
        <w:rPr>
          <w:rFonts w:ascii="Times New Roman" w:eastAsiaTheme="minorHAnsi" w:hAnsi="Times New Roman"/>
          <w:sz w:val="22"/>
          <w:szCs w:val="22"/>
          <w:lang w:eastAsia="en-US"/>
        </w:rPr>
        <w:t>čívajúcich v opravách a ošetrovaní autobusov verejného obstarávateľa</w:t>
      </w:r>
      <w:r w:rsidR="00FC5D89" w:rsidRPr="00FC5D89">
        <w:rPr>
          <w:rFonts w:ascii="Times New Roman" w:eastAsiaTheme="minorHAnsi" w:hAnsi="Times New Roman"/>
          <w:sz w:val="22"/>
          <w:szCs w:val="22"/>
          <w:lang w:eastAsia="en-US"/>
        </w:rPr>
        <w:t>, najmä typu:</w:t>
      </w:r>
      <w:r w:rsidR="00BD7720" w:rsidRPr="00FC5D89"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</w:p>
    <w:p w14:paraId="13516461" w14:textId="77777777" w:rsidR="00FC5D89" w:rsidRPr="00FC5D89" w:rsidRDefault="00FC5D89" w:rsidP="00FC5D89">
      <w:pPr>
        <w:pStyle w:val="Odsekzoznamu"/>
        <w:ind w:left="36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11"/>
        <w:tblW w:w="8788" w:type="dxa"/>
        <w:tblInd w:w="279" w:type="dxa"/>
        <w:tblBorders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976"/>
      </w:tblGrid>
      <w:tr w:rsidR="00447048" w:rsidRPr="00B67D45" w14:paraId="0139A652" w14:textId="77777777" w:rsidTr="00575CD1">
        <w:trPr>
          <w:trHeight w:val="624"/>
        </w:trPr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5D82E28A" w14:textId="77777777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Opravy a ošetrovanie autobusov – typy vozidiel a predpokladané množstvá</w:t>
            </w:r>
          </w:p>
        </w:tc>
      </w:tr>
      <w:tr w:rsidR="00447048" w:rsidRPr="00B67D45" w14:paraId="4E5D24BA" w14:textId="77777777" w:rsidTr="00575CD1">
        <w:trPr>
          <w:trHeight w:val="567"/>
        </w:trPr>
        <w:tc>
          <w:tcPr>
            <w:tcW w:w="5812" w:type="dxa"/>
            <w:shd w:val="clear" w:color="auto" w:fill="F8F8F8"/>
            <w:vAlign w:val="center"/>
          </w:tcPr>
          <w:p w14:paraId="1BAE57A1" w14:textId="602C16AC" w:rsidR="00447048" w:rsidRPr="00B67D45" w:rsidRDefault="00BD7720" w:rsidP="00575CD1">
            <w:pPr>
              <w:ind w:left="284" w:right="0"/>
              <w:jc w:val="center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Typy autobusov</w:t>
            </w:r>
          </w:p>
        </w:tc>
        <w:tc>
          <w:tcPr>
            <w:tcW w:w="2976" w:type="dxa"/>
            <w:shd w:val="clear" w:color="auto" w:fill="F8F8F8"/>
            <w:vAlign w:val="center"/>
          </w:tcPr>
          <w:p w14:paraId="0A648C0A" w14:textId="0B5D4F95" w:rsidR="00447048" w:rsidRPr="00B67D45" w:rsidRDefault="00BD7720" w:rsidP="00575CD1">
            <w:pPr>
              <w:ind w:left="284" w:right="0"/>
              <w:jc w:val="center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Počty autobusov</w:t>
            </w:r>
          </w:p>
        </w:tc>
      </w:tr>
      <w:tr w:rsidR="00447048" w:rsidRPr="00B67D45" w14:paraId="4D623994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6656C188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KAROSA LC 956.1072</w:t>
            </w:r>
          </w:p>
        </w:tc>
        <w:tc>
          <w:tcPr>
            <w:tcW w:w="2976" w:type="dxa"/>
            <w:vAlign w:val="center"/>
          </w:tcPr>
          <w:p w14:paraId="294B6B5B" w14:textId="40C119A1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50EF3A3A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4C47D375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C -734 /B-731/</w:t>
            </w:r>
          </w:p>
        </w:tc>
        <w:tc>
          <w:tcPr>
            <w:tcW w:w="2976" w:type="dxa"/>
            <w:vAlign w:val="center"/>
          </w:tcPr>
          <w:p w14:paraId="7A881088" w14:textId="4B0116D2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7048" w:rsidRPr="00B67D45" w14:paraId="5503EEBF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049990A0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KAROSA LC-735</w:t>
            </w:r>
          </w:p>
        </w:tc>
        <w:tc>
          <w:tcPr>
            <w:tcW w:w="2976" w:type="dxa"/>
            <w:vAlign w:val="center"/>
          </w:tcPr>
          <w:p w14:paraId="124DFD87" w14:textId="03D54E42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5CA8780E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12EAF2E6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KAROSA LC-757 HD 12</w:t>
            </w:r>
          </w:p>
        </w:tc>
        <w:tc>
          <w:tcPr>
            <w:tcW w:w="2976" w:type="dxa"/>
            <w:vAlign w:val="center"/>
          </w:tcPr>
          <w:p w14:paraId="5A752F67" w14:textId="2927F6E5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1788D41E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461291AB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KAROSA LC 975.1070</w:t>
            </w:r>
          </w:p>
        </w:tc>
        <w:tc>
          <w:tcPr>
            <w:tcW w:w="2976" w:type="dxa"/>
            <w:vAlign w:val="center"/>
          </w:tcPr>
          <w:p w14:paraId="516B2C21" w14:textId="7D377C84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68962411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773E4C7A" w14:textId="2CF6253D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MB TOURI</w:t>
            </w:r>
            <w:r w:rsidR="00BD7720">
              <w:rPr>
                <w:rFonts w:ascii="Times New Roman" w:hAnsi="Times New Roman"/>
                <w:sz w:val="22"/>
                <w:szCs w:val="22"/>
              </w:rPr>
              <w:t>S</w:t>
            </w:r>
            <w:r w:rsidRPr="00B67D45">
              <w:rPr>
                <w:rFonts w:ascii="Times New Roman" w:hAnsi="Times New Roman"/>
                <w:sz w:val="22"/>
                <w:szCs w:val="22"/>
              </w:rPr>
              <w:t>MO R2</w:t>
            </w:r>
          </w:p>
        </w:tc>
        <w:tc>
          <w:tcPr>
            <w:tcW w:w="2976" w:type="dxa"/>
            <w:vAlign w:val="center"/>
          </w:tcPr>
          <w:p w14:paraId="2C08CC66" w14:textId="54B0BF2D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3846357C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62F29729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MB TOURINO EURO4</w:t>
            </w:r>
          </w:p>
        </w:tc>
        <w:tc>
          <w:tcPr>
            <w:tcW w:w="2976" w:type="dxa"/>
            <w:vAlign w:val="center"/>
          </w:tcPr>
          <w:p w14:paraId="0F9DEAD2" w14:textId="1BA2F87E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7F8D854F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787E9C8D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VEĽKÝ IRISBUS IVECO CROSWAY 12 M</w:t>
            </w:r>
          </w:p>
        </w:tc>
        <w:tc>
          <w:tcPr>
            <w:tcW w:w="2976" w:type="dxa"/>
            <w:vAlign w:val="center"/>
          </w:tcPr>
          <w:p w14:paraId="2C48CA81" w14:textId="5623B6C4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2C0FD01D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73402EB8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IVECO CROSSWAY-PRO12M</w:t>
            </w:r>
          </w:p>
        </w:tc>
        <w:tc>
          <w:tcPr>
            <w:tcW w:w="2976" w:type="dxa"/>
            <w:vAlign w:val="center"/>
          </w:tcPr>
          <w:p w14:paraId="004D2EFA" w14:textId="33275180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42203888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75AFB137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IVECO CROSSWAY-PRO12M INT</w:t>
            </w:r>
          </w:p>
        </w:tc>
        <w:tc>
          <w:tcPr>
            <w:tcW w:w="2976" w:type="dxa"/>
            <w:vAlign w:val="center"/>
          </w:tcPr>
          <w:p w14:paraId="702E7A8C" w14:textId="066E5C3E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07CBCF40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692593FE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IVECO DAILY ROŠERO-P FIRST FLHXI</w:t>
            </w:r>
          </w:p>
        </w:tc>
        <w:tc>
          <w:tcPr>
            <w:tcW w:w="2976" w:type="dxa"/>
            <w:vAlign w:val="center"/>
          </w:tcPr>
          <w:p w14:paraId="61AB6843" w14:textId="52D5679A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35182765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30DA75DC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IVECO DAILY ROŠERO-P FIRST</w:t>
            </w:r>
          </w:p>
        </w:tc>
        <w:tc>
          <w:tcPr>
            <w:tcW w:w="2976" w:type="dxa"/>
            <w:vAlign w:val="center"/>
          </w:tcPr>
          <w:p w14:paraId="47E847D2" w14:textId="5FF457CF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0871812D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7AAC1AF0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MALÝ SOR LC 7,5</w:t>
            </w:r>
          </w:p>
        </w:tc>
        <w:tc>
          <w:tcPr>
            <w:tcW w:w="2976" w:type="dxa"/>
            <w:vAlign w:val="center"/>
          </w:tcPr>
          <w:p w14:paraId="379273CE" w14:textId="3BD98A60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447048" w:rsidRPr="00B67D45" w14:paraId="45B12609" w14:textId="77777777" w:rsidTr="00575CD1">
        <w:trPr>
          <w:trHeight w:val="312"/>
        </w:trPr>
        <w:tc>
          <w:tcPr>
            <w:tcW w:w="5812" w:type="dxa"/>
            <w:vAlign w:val="center"/>
          </w:tcPr>
          <w:p w14:paraId="05755EF0" w14:textId="77777777" w:rsidR="00447048" w:rsidRPr="00B67D45" w:rsidRDefault="00447048" w:rsidP="00575CD1">
            <w:pPr>
              <w:ind w:left="284" w:right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67D45">
              <w:rPr>
                <w:rFonts w:ascii="Times New Roman" w:hAnsi="Times New Roman"/>
                <w:sz w:val="22"/>
                <w:szCs w:val="22"/>
              </w:rPr>
              <w:t>AUTOBUS MALÝ RENAULT MASTER BH 8LT</w:t>
            </w:r>
          </w:p>
        </w:tc>
        <w:tc>
          <w:tcPr>
            <w:tcW w:w="2976" w:type="dxa"/>
            <w:vAlign w:val="center"/>
          </w:tcPr>
          <w:p w14:paraId="02C7CA86" w14:textId="239E471D" w:rsidR="00447048" w:rsidRPr="00B67D45" w:rsidRDefault="00447048" w:rsidP="00575CD1">
            <w:pPr>
              <w:ind w:left="284" w:right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</w:tbl>
    <w:p w14:paraId="21A28EBB" w14:textId="77777777" w:rsidR="00447048" w:rsidRDefault="00447048" w:rsidP="00447048">
      <w:pPr>
        <w:pStyle w:val="Odsekzoznamu"/>
        <w:ind w:left="360"/>
        <w:rPr>
          <w:rFonts w:ascii="Times New Roman" w:hAnsi="Times New Roman"/>
          <w:sz w:val="22"/>
          <w:szCs w:val="22"/>
        </w:rPr>
      </w:pPr>
    </w:p>
    <w:p w14:paraId="1BA1AD86" w14:textId="348495BC" w:rsidR="00447048" w:rsidRDefault="00FC5D89" w:rsidP="00C1294A">
      <w:pPr>
        <w:pStyle w:val="Odsekzoznamu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 prípadne iných typov autobusov podľa potrieb verejného obstarávateľa.</w:t>
      </w:r>
    </w:p>
    <w:p w14:paraId="7F8FC6B3" w14:textId="63563959" w:rsidR="00FC5D89" w:rsidRPr="00FC5D89" w:rsidRDefault="00FC5D89" w:rsidP="00FC5D89">
      <w:pPr>
        <w:tabs>
          <w:tab w:val="clear" w:pos="2160"/>
          <w:tab w:val="clear" w:pos="2880"/>
          <w:tab w:val="clear" w:pos="4500"/>
        </w:tabs>
        <w:spacing w:before="120" w:line="252" w:lineRule="auto"/>
        <w:ind w:firstLine="360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/>
          <w:b/>
          <w:color w:val="000000"/>
          <w:spacing w:val="-4"/>
          <w:sz w:val="22"/>
          <w:szCs w:val="22"/>
        </w:rPr>
        <w:t>Opravy a ošetrovanie autobusov zahŕňajú najmä nasledujúce</w:t>
      </w:r>
      <w:r w:rsidRPr="00FC5D89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 služieb:</w:t>
      </w: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</w:p>
    <w:p w14:paraId="49C6C4AD" w14:textId="4D3E82AE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mechanické, klampiarske, lakovnícke práce, kompletný pneuservis.</w:t>
      </w:r>
    </w:p>
    <w:p w14:paraId="6974003B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opravy mechanických častí vozidiel (prevodový mechanizmus, brzdový mechanizmus vrátane </w:t>
      </w:r>
      <w:proofErr w:type="spellStart"/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vzducho</w:t>
      </w:r>
      <w:proofErr w:type="spellEnd"/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-tlakovej sústavy, pruženie, riadenia),</w:t>
      </w:r>
    </w:p>
    <w:p w14:paraId="2239BA0B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opravy motorov a sústav vozidla (palivová sústava vrátane plynového pohonu, hydraulická sústava, elektrická sústava vrátane elektropneumatickej, sústava prívodu vzduchu do motora),</w:t>
      </w:r>
    </w:p>
    <w:p w14:paraId="1BA2ECF9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opravy elektrickej výstroje a ostatných elektrických spotrebičov vrátane klimatizácie</w:t>
      </w:r>
    </w:p>
    <w:p w14:paraId="5469D00B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vykonávanie predpísanej údržby vozidiel po odjazdených km, odpracovaných </w:t>
      </w:r>
      <w:proofErr w:type="spellStart"/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Mh</w:t>
      </w:r>
      <w:proofErr w:type="spellEnd"/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 vrátane dodávky  ND a predpísaných prác pre jednotlivé typové rady,</w:t>
      </w:r>
    </w:p>
    <w:p w14:paraId="7A5F09B0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klampiarske práce, karosárske práce, čalúnnické práce, lakovnícke práce,</w:t>
      </w:r>
    </w:p>
    <w:p w14:paraId="2B03A105" w14:textId="47ED3BE5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príprava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vozidiel na </w:t>
      </w: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 xml:space="preserve"> STK, EK,</w:t>
      </w:r>
    </w:p>
    <w:p w14:paraId="45450EDD" w14:textId="1D0EF39B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lastRenderedPageBreak/>
        <w:t>vykonávanie kontroly elektronických systémov vozidiel vrátane ABS, riadiacich jednotiek, geometrie náprav, nastavenia svetlometov, emisií výfukových plynov, tachografov prostredníctvom certifikovaného diagnostického zariadenia schváleného alebo odporúčaného výrobcom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,</w:t>
      </w:r>
    </w:p>
    <w:p w14:paraId="05580A28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vykonávanie výmeny prevádzkových náplní v zmysle predpísanej údržby,</w:t>
      </w:r>
    </w:p>
    <w:p w14:paraId="1D8A5A27" w14:textId="77777777" w:rsidR="00FC5D89" w:rsidRPr="00FC5D89" w:rsidRDefault="00FC5D89" w:rsidP="00FC5D89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52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2"/>
          <w:szCs w:val="22"/>
        </w:rPr>
      </w:pPr>
      <w:r w:rsidRPr="00FC5D89">
        <w:rPr>
          <w:rFonts w:ascii="Times New Roman" w:hAnsi="Times New Roman"/>
          <w:color w:val="000000"/>
          <w:spacing w:val="-4"/>
          <w:sz w:val="22"/>
          <w:szCs w:val="22"/>
        </w:rPr>
        <w:t>opravy a výmena pneumatík vrátane montáže a vyvažovania.</w:t>
      </w:r>
    </w:p>
    <w:p w14:paraId="75566792" w14:textId="77777777" w:rsidR="00B67D45" w:rsidRPr="00305284" w:rsidRDefault="00B67D45" w:rsidP="00FC5D89">
      <w:pPr>
        <w:pStyle w:val="Zkladntex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10D2F3FC" w14:textId="38F11307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6E7151">
        <w:rPr>
          <w:rFonts w:ascii="Times New Roman" w:eastAsia="Calibri" w:hAnsi="Times New Roman"/>
          <w:b/>
          <w:bCs/>
          <w:sz w:val="22"/>
          <w:szCs w:val="22"/>
          <w:lang w:eastAsia="en-US"/>
        </w:rPr>
        <w:t>iny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B67D45" w:rsidRPr="00DE4482">
        <w:rPr>
          <w:rFonts w:ascii="Times New Roman" w:hAnsi="Times New Roman"/>
          <w:sz w:val="22"/>
          <w:szCs w:val="22"/>
        </w:rPr>
        <w:t>5011</w:t>
      </w:r>
      <w:r w:rsidR="00B67D45">
        <w:rPr>
          <w:rFonts w:ascii="Times New Roman" w:hAnsi="Times New Roman"/>
          <w:sz w:val="22"/>
          <w:szCs w:val="22"/>
        </w:rPr>
        <w:t>3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2801C22E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BB26F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Služba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bude </w:t>
      </w:r>
      <w:r w:rsidR="00BB26F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poskytovaná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3B88F868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BB26F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potrebné informácie ku konkrétnym požadovaných službám.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2B8116A4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124E4B33" w14:textId="77777777" w:rsidR="008640AB" w:rsidRDefault="008640AB" w:rsidP="008640AB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3484D7A1" w14:textId="67510D88" w:rsidR="008640AB" w:rsidRPr="00221476" w:rsidRDefault="008640AB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8B4F25">
        <w:rPr>
          <w:rFonts w:ascii="Times New Roman" w:hAnsi="Times New Roman"/>
          <w:color w:val="000000"/>
          <w:sz w:val="22"/>
          <w:szCs w:val="22"/>
        </w:rPr>
        <w:t>Uchádzač (</w:t>
      </w:r>
      <w:proofErr w:type="spellStart"/>
      <w:r w:rsidRPr="008B4F25">
        <w:rPr>
          <w:rFonts w:ascii="Times New Roman" w:hAnsi="Times New Roman"/>
          <w:color w:val="000000"/>
          <w:sz w:val="22"/>
          <w:szCs w:val="22"/>
        </w:rPr>
        <w:t>mož-ný</w:t>
      </w:r>
      <w:proofErr w:type="spellEnd"/>
      <w:r w:rsidRPr="008B4F25">
        <w:rPr>
          <w:rFonts w:ascii="Times New Roman" w:hAnsi="Times New Roman"/>
          <w:color w:val="000000"/>
          <w:sz w:val="22"/>
          <w:szCs w:val="22"/>
        </w:rPr>
        <w:t xml:space="preserve"> úspešný uchádzač/</w:t>
      </w:r>
      <w:r w:rsidRPr="008B4F25">
        <w:rPr>
          <w:rFonts w:ascii="Times New Roman" w:hAnsi="Times New Roman"/>
          <w:sz w:val="22"/>
          <w:szCs w:val="22"/>
        </w:rPr>
        <w:t xml:space="preserve">Zhotoviteľ) musí spĺňať podmienku, že  na vykonávanie požadovaných opráv uvedených typov autobusov má k dispozícii potrebné prostriedky a vybavenie, strojové a technické zariadenia, personálne kapacity na požadovanej odbornej úrovni a má zabezpečenú dodávku originálnych náhradných </w:t>
      </w:r>
      <w:r w:rsidRPr="008B4F25">
        <w:rPr>
          <w:rFonts w:ascii="Times New Roman" w:hAnsi="Times New Roman"/>
          <w:color w:val="000000"/>
          <w:sz w:val="22"/>
          <w:szCs w:val="22"/>
        </w:rPr>
        <w:t>dielov potrebných na plnenie predmetu zákazky.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1E908067" w:rsidR="00933C0C" w:rsidRPr="003A2212" w:rsidRDefault="00BB26FC" w:rsidP="003A221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Zhotoviteľ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zodpovedá za kvalitu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19E2ABE2" w14:textId="77777777" w:rsidR="00AA32ED" w:rsidRPr="000B0A87" w:rsidRDefault="00AA32ED" w:rsidP="000B0A87">
      <w:pPr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5EEC01A" w14:textId="592E4F5E" w:rsidR="00221476" w:rsidRPr="005876C6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E34928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5876C6" w:rsidSect="002724A4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5E51" w14:textId="77777777" w:rsidR="00945976" w:rsidRDefault="00945976" w:rsidP="00145BE1">
      <w:r>
        <w:separator/>
      </w:r>
    </w:p>
  </w:endnote>
  <w:endnote w:type="continuationSeparator" w:id="0">
    <w:p w14:paraId="33C3E703" w14:textId="77777777" w:rsidR="00945976" w:rsidRDefault="00945976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17F0" w14:textId="77777777" w:rsidR="00945976" w:rsidRDefault="00945976" w:rsidP="00145BE1">
      <w:r>
        <w:separator/>
      </w:r>
    </w:p>
  </w:footnote>
  <w:footnote w:type="continuationSeparator" w:id="0">
    <w:p w14:paraId="4CB2BB1F" w14:textId="77777777" w:rsidR="00945976" w:rsidRDefault="00945976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BC2B" w14:textId="7B9E8E22" w:rsidR="00DE4482" w:rsidRPr="00DE4482" w:rsidRDefault="006E7151" w:rsidP="00DE4482">
    <w:pPr>
      <w:jc w:val="right"/>
      <w:rPr>
        <w:rFonts w:ascii="Times New Roman" w:hAnsi="Times New Roman"/>
        <w:b/>
        <w:i/>
        <w:iCs/>
      </w:rPr>
    </w:pPr>
    <w:r w:rsidRPr="00DE4482">
      <w:rPr>
        <w:rFonts w:ascii="Times New Roman" w:hAnsi="Times New Roman"/>
        <w:b/>
      </w:rPr>
      <w:t xml:space="preserve">Príloha č. </w:t>
    </w:r>
    <w:r w:rsidR="00834496">
      <w:rPr>
        <w:rFonts w:ascii="Times New Roman" w:hAnsi="Times New Roman"/>
        <w:b/>
      </w:rPr>
      <w:t>5</w:t>
    </w:r>
    <w:r w:rsidRPr="00DE4482">
      <w:rPr>
        <w:rFonts w:ascii="Times New Roman" w:hAnsi="Times New Roman"/>
        <w:b/>
      </w:rPr>
      <w:t xml:space="preserve"> súťažných podkladov: </w:t>
    </w:r>
    <w:r w:rsidR="00DE4482" w:rsidRPr="00DE4482">
      <w:rPr>
        <w:rFonts w:ascii="Times New Roman" w:hAnsi="Times New Roman"/>
        <w:b/>
      </w:rPr>
      <w:t>„Opravy a ošetr</w:t>
    </w:r>
    <w:r w:rsidR="00FC1684">
      <w:rPr>
        <w:rFonts w:ascii="Times New Roman" w:hAnsi="Times New Roman"/>
        <w:b/>
      </w:rPr>
      <w:t>ovanie</w:t>
    </w:r>
    <w:r w:rsidR="00DE4482" w:rsidRPr="00DE4482">
      <w:rPr>
        <w:rFonts w:ascii="Times New Roman" w:hAnsi="Times New Roman"/>
        <w:b/>
      </w:rPr>
      <w:t xml:space="preserve"> autobusov - DNS“</w:t>
    </w:r>
  </w:p>
  <w:p w14:paraId="6BADF7FC" w14:textId="77777777" w:rsidR="006E7151" w:rsidRDefault="006E71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887BBE"/>
    <w:multiLevelType w:val="hybridMultilevel"/>
    <w:tmpl w:val="15801C06"/>
    <w:lvl w:ilvl="0" w:tplc="810ACAB0">
      <w:start w:val="1"/>
      <w:numFmt w:val="decimal"/>
      <w:lvlText w:val="2.%1."/>
      <w:lvlJc w:val="right"/>
      <w:pPr>
        <w:ind w:left="2160" w:hanging="180"/>
      </w:pPr>
      <w:rPr>
        <w:rFonts w:hint="default"/>
        <w:b/>
        <w:strike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0911D9"/>
    <w:multiLevelType w:val="hybridMultilevel"/>
    <w:tmpl w:val="A7B44A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80272AC"/>
    <w:multiLevelType w:val="hybridMultilevel"/>
    <w:tmpl w:val="EC58970A"/>
    <w:lvl w:ilvl="0" w:tplc="BB1A50FA">
      <w:numFmt w:val="bullet"/>
      <w:lvlText w:val="‒"/>
      <w:lvlJc w:val="left"/>
      <w:pPr>
        <w:ind w:left="94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6D484196"/>
    <w:multiLevelType w:val="hybridMultilevel"/>
    <w:tmpl w:val="8E5CEB30"/>
    <w:lvl w:ilvl="0" w:tplc="B18AA8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5"/>
  </w:num>
  <w:num w:numId="4">
    <w:abstractNumId w:val="7"/>
  </w:num>
  <w:num w:numId="5">
    <w:abstractNumId w:val="17"/>
  </w:num>
  <w:num w:numId="6">
    <w:abstractNumId w:val="4"/>
  </w:num>
  <w:num w:numId="7">
    <w:abstractNumId w:val="29"/>
  </w:num>
  <w:num w:numId="8">
    <w:abstractNumId w:val="10"/>
  </w:num>
  <w:num w:numId="9">
    <w:abstractNumId w:val="22"/>
  </w:num>
  <w:num w:numId="10">
    <w:abstractNumId w:val="3"/>
  </w:num>
  <w:num w:numId="11">
    <w:abstractNumId w:val="12"/>
  </w:num>
  <w:num w:numId="12">
    <w:abstractNumId w:val="21"/>
  </w:num>
  <w:num w:numId="13">
    <w:abstractNumId w:val="8"/>
  </w:num>
  <w:num w:numId="14">
    <w:abstractNumId w:val="5"/>
  </w:num>
  <w:num w:numId="15">
    <w:abstractNumId w:val="1"/>
  </w:num>
  <w:num w:numId="16">
    <w:abstractNumId w:val="6"/>
  </w:num>
  <w:num w:numId="17">
    <w:abstractNumId w:val="14"/>
  </w:num>
  <w:num w:numId="18">
    <w:abstractNumId w:val="19"/>
  </w:num>
  <w:num w:numId="19">
    <w:abstractNumId w:val="13"/>
  </w:num>
  <w:num w:numId="20">
    <w:abstractNumId w:val="13"/>
  </w:num>
  <w:num w:numId="21">
    <w:abstractNumId w:val="20"/>
  </w:num>
  <w:num w:numId="22">
    <w:abstractNumId w:val="9"/>
  </w:num>
  <w:num w:numId="23">
    <w:abstractNumId w:val="23"/>
  </w:num>
  <w:num w:numId="24">
    <w:abstractNumId w:val="18"/>
  </w:num>
  <w:num w:numId="25">
    <w:abstractNumId w:val="24"/>
  </w:num>
  <w:num w:numId="26">
    <w:abstractNumId w:val="16"/>
  </w:num>
  <w:num w:numId="27">
    <w:abstractNumId w:val="28"/>
  </w:num>
  <w:num w:numId="28">
    <w:abstractNumId w:val="11"/>
  </w:num>
  <w:num w:numId="29">
    <w:abstractNumId w:val="27"/>
  </w:num>
  <w:num w:numId="30">
    <w:abstractNumId w:val="2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B0A87"/>
    <w:rsid w:val="000C0249"/>
    <w:rsid w:val="000C1A3F"/>
    <w:rsid w:val="000D17FB"/>
    <w:rsid w:val="000D51D1"/>
    <w:rsid w:val="000E1CF1"/>
    <w:rsid w:val="000E3B2F"/>
    <w:rsid w:val="000E72F1"/>
    <w:rsid w:val="000E7B52"/>
    <w:rsid w:val="0010272D"/>
    <w:rsid w:val="0010733E"/>
    <w:rsid w:val="00110233"/>
    <w:rsid w:val="00115BE3"/>
    <w:rsid w:val="001259DE"/>
    <w:rsid w:val="00131287"/>
    <w:rsid w:val="00133AE5"/>
    <w:rsid w:val="00142B60"/>
    <w:rsid w:val="00145BE1"/>
    <w:rsid w:val="00154EA5"/>
    <w:rsid w:val="001776AC"/>
    <w:rsid w:val="0018283E"/>
    <w:rsid w:val="00183F42"/>
    <w:rsid w:val="001B64C0"/>
    <w:rsid w:val="001D2952"/>
    <w:rsid w:val="001E7EBB"/>
    <w:rsid w:val="001F6217"/>
    <w:rsid w:val="0020145D"/>
    <w:rsid w:val="002015BC"/>
    <w:rsid w:val="002157EC"/>
    <w:rsid w:val="00221184"/>
    <w:rsid w:val="0022131D"/>
    <w:rsid w:val="00221476"/>
    <w:rsid w:val="0022433C"/>
    <w:rsid w:val="00245A97"/>
    <w:rsid w:val="00246BAC"/>
    <w:rsid w:val="00270F90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45EB1"/>
    <w:rsid w:val="00385330"/>
    <w:rsid w:val="00385684"/>
    <w:rsid w:val="003A2212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573"/>
    <w:rsid w:val="00436B09"/>
    <w:rsid w:val="00437C4C"/>
    <w:rsid w:val="004436BE"/>
    <w:rsid w:val="00443D06"/>
    <w:rsid w:val="00447048"/>
    <w:rsid w:val="00457F8A"/>
    <w:rsid w:val="004A2640"/>
    <w:rsid w:val="004C565C"/>
    <w:rsid w:val="004C6A49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2864"/>
    <w:rsid w:val="00554C4D"/>
    <w:rsid w:val="005876C6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E7151"/>
    <w:rsid w:val="006F3627"/>
    <w:rsid w:val="006F384D"/>
    <w:rsid w:val="006F779C"/>
    <w:rsid w:val="00714DFF"/>
    <w:rsid w:val="0073149E"/>
    <w:rsid w:val="00746789"/>
    <w:rsid w:val="007469C4"/>
    <w:rsid w:val="00766438"/>
    <w:rsid w:val="00774762"/>
    <w:rsid w:val="0078589F"/>
    <w:rsid w:val="0079284D"/>
    <w:rsid w:val="00794742"/>
    <w:rsid w:val="007A3287"/>
    <w:rsid w:val="007B70D5"/>
    <w:rsid w:val="007C3103"/>
    <w:rsid w:val="007D0BD6"/>
    <w:rsid w:val="007D1B0C"/>
    <w:rsid w:val="007D3AB8"/>
    <w:rsid w:val="007F29BE"/>
    <w:rsid w:val="00813DF2"/>
    <w:rsid w:val="00822852"/>
    <w:rsid w:val="00833E40"/>
    <w:rsid w:val="00834496"/>
    <w:rsid w:val="0085382E"/>
    <w:rsid w:val="008544AB"/>
    <w:rsid w:val="0086184E"/>
    <w:rsid w:val="008640AB"/>
    <w:rsid w:val="00881DD1"/>
    <w:rsid w:val="008947C7"/>
    <w:rsid w:val="008A3F02"/>
    <w:rsid w:val="008A4816"/>
    <w:rsid w:val="008B4F25"/>
    <w:rsid w:val="008D2A81"/>
    <w:rsid w:val="008E450B"/>
    <w:rsid w:val="008F0C34"/>
    <w:rsid w:val="00911AA6"/>
    <w:rsid w:val="00924CB5"/>
    <w:rsid w:val="00931262"/>
    <w:rsid w:val="00933C0C"/>
    <w:rsid w:val="00937038"/>
    <w:rsid w:val="00945976"/>
    <w:rsid w:val="009476CB"/>
    <w:rsid w:val="00953BED"/>
    <w:rsid w:val="00967488"/>
    <w:rsid w:val="00987A0F"/>
    <w:rsid w:val="0099099E"/>
    <w:rsid w:val="00990B27"/>
    <w:rsid w:val="009C062E"/>
    <w:rsid w:val="009C5AB7"/>
    <w:rsid w:val="009E07CF"/>
    <w:rsid w:val="009E3606"/>
    <w:rsid w:val="009E49FB"/>
    <w:rsid w:val="009F0D32"/>
    <w:rsid w:val="009F68A5"/>
    <w:rsid w:val="00A00E09"/>
    <w:rsid w:val="00A227C5"/>
    <w:rsid w:val="00A23C06"/>
    <w:rsid w:val="00A44E52"/>
    <w:rsid w:val="00A478D7"/>
    <w:rsid w:val="00A57940"/>
    <w:rsid w:val="00A61CEC"/>
    <w:rsid w:val="00A6661E"/>
    <w:rsid w:val="00A71988"/>
    <w:rsid w:val="00A749E9"/>
    <w:rsid w:val="00A751B7"/>
    <w:rsid w:val="00A842A7"/>
    <w:rsid w:val="00A87935"/>
    <w:rsid w:val="00A93AC7"/>
    <w:rsid w:val="00AA32ED"/>
    <w:rsid w:val="00AA5E3B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D45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B26FC"/>
    <w:rsid w:val="00BC352C"/>
    <w:rsid w:val="00BC38CC"/>
    <w:rsid w:val="00BC5262"/>
    <w:rsid w:val="00BD197B"/>
    <w:rsid w:val="00BD7720"/>
    <w:rsid w:val="00BE413E"/>
    <w:rsid w:val="00C00AF8"/>
    <w:rsid w:val="00C014F9"/>
    <w:rsid w:val="00C11C1C"/>
    <w:rsid w:val="00C1294A"/>
    <w:rsid w:val="00C2598E"/>
    <w:rsid w:val="00C35401"/>
    <w:rsid w:val="00C469DE"/>
    <w:rsid w:val="00C53BC8"/>
    <w:rsid w:val="00C93C0A"/>
    <w:rsid w:val="00CA371D"/>
    <w:rsid w:val="00CA5CC5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482"/>
    <w:rsid w:val="00DE4D12"/>
    <w:rsid w:val="00E04013"/>
    <w:rsid w:val="00E07D90"/>
    <w:rsid w:val="00E121EF"/>
    <w:rsid w:val="00E13B67"/>
    <w:rsid w:val="00E34928"/>
    <w:rsid w:val="00E37CFC"/>
    <w:rsid w:val="00E40995"/>
    <w:rsid w:val="00E57BE0"/>
    <w:rsid w:val="00E6374E"/>
    <w:rsid w:val="00E81189"/>
    <w:rsid w:val="00E96BF7"/>
    <w:rsid w:val="00EB3342"/>
    <w:rsid w:val="00EE3509"/>
    <w:rsid w:val="00EE4620"/>
    <w:rsid w:val="00EF3362"/>
    <w:rsid w:val="00F058BB"/>
    <w:rsid w:val="00F51204"/>
    <w:rsid w:val="00F64E8F"/>
    <w:rsid w:val="00F660A1"/>
    <w:rsid w:val="00F70CBE"/>
    <w:rsid w:val="00F8015F"/>
    <w:rsid w:val="00F97D38"/>
    <w:rsid w:val="00FA5311"/>
    <w:rsid w:val="00FB4F66"/>
    <w:rsid w:val="00FC0E96"/>
    <w:rsid w:val="00FC1684"/>
    <w:rsid w:val="00FC3EF8"/>
    <w:rsid w:val="00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1">
    <w:name w:val="Mriežka tabuľky11"/>
    <w:basedOn w:val="Normlnatabuka"/>
    <w:next w:val="Mriekatabuky"/>
    <w:uiPriority w:val="39"/>
    <w:rsid w:val="00B67D45"/>
    <w:pPr>
      <w:spacing w:after="0" w:line="240" w:lineRule="auto"/>
      <w:ind w:left="57" w:right="57"/>
    </w:pPr>
    <w:rPr>
      <w:rFonts w:ascii="Times New Roman" w:eastAsia="Calibri" w:hAnsi="Times New Roman" w:cs="Times New Roman"/>
      <w:spacing w:val="-4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JURÍČKOVÁ Patrícia</cp:lastModifiedBy>
  <cp:revision>11</cp:revision>
  <cp:lastPrinted>2026-02-09T13:28:00Z</cp:lastPrinted>
  <dcterms:created xsi:type="dcterms:W3CDTF">2026-02-06T13:46:00Z</dcterms:created>
  <dcterms:modified xsi:type="dcterms:W3CDTF">2026-02-11T12:53:00Z</dcterms:modified>
</cp:coreProperties>
</file>