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7C33783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</w:t>
      </w:r>
      <w:r w:rsidR="0079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7920FF" w:rsidRPr="00792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010629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</w:t>
      </w:r>
      <w:proofErr w:type="spellStart"/>
      <w:r w:rsidRPr="001B241E">
        <w:rPr>
          <w:rFonts w:ascii="Times New Roman" w:hAnsi="Times New Roman" w:cs="Times New Roman"/>
          <w:color w:val="000000" w:themeColor="text1"/>
        </w:rPr>
        <w:t>nasl</w:t>
      </w:r>
      <w:proofErr w:type="spellEnd"/>
      <w:r w:rsidRPr="001B241E">
        <w:rPr>
          <w:rFonts w:ascii="Times New Roman" w:hAnsi="Times New Roman" w:cs="Times New Roman"/>
          <w:color w:val="000000" w:themeColor="text1"/>
        </w:rPr>
        <w:t xml:space="preserve">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5721F3FE" w14:textId="77777777" w:rsidR="007920FF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7920FF" w:rsidRPr="007920FF">
        <w:rPr>
          <w:rFonts w:ascii="Times New Roman" w:hAnsi="Times New Roman" w:cs="Times New Roman"/>
          <w:b/>
          <w:sz w:val="28"/>
          <w:szCs w:val="28"/>
        </w:rPr>
        <w:t>Kontajnerov</w:t>
      </w:r>
      <w:r w:rsidR="007920FF" w:rsidRPr="007920FF">
        <w:rPr>
          <w:rFonts w:ascii="Times New Roman" w:hAnsi="Times New Roman" w:cs="Times New Roman" w:hint="cs"/>
          <w:b/>
          <w:sz w:val="28"/>
          <w:szCs w:val="28"/>
        </w:rPr>
        <w:t>é</w:t>
      </w:r>
      <w:r w:rsidR="007920FF" w:rsidRPr="0079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0FF" w:rsidRPr="007920FF">
        <w:rPr>
          <w:rFonts w:ascii="Times New Roman" w:hAnsi="Times New Roman" w:cs="Times New Roman" w:hint="cs"/>
          <w:b/>
          <w:sz w:val="28"/>
          <w:szCs w:val="28"/>
        </w:rPr>
        <w:t>ú</w:t>
      </w:r>
      <w:r w:rsidR="007920FF" w:rsidRPr="007920FF">
        <w:rPr>
          <w:rFonts w:ascii="Times New Roman" w:hAnsi="Times New Roman" w:cs="Times New Roman"/>
          <w:b/>
          <w:sz w:val="28"/>
          <w:szCs w:val="28"/>
        </w:rPr>
        <w:t>lo</w:t>
      </w:r>
      <w:r w:rsidR="007920FF" w:rsidRPr="007920FF">
        <w:rPr>
          <w:rFonts w:ascii="Times New Roman" w:hAnsi="Times New Roman" w:cs="Times New Roman" w:hint="cs"/>
          <w:b/>
          <w:sz w:val="28"/>
          <w:szCs w:val="28"/>
        </w:rPr>
        <w:t>ž</w:t>
      </w:r>
      <w:r w:rsidR="007920FF" w:rsidRPr="007920FF">
        <w:rPr>
          <w:rFonts w:ascii="Times New Roman" w:hAnsi="Times New Roman" w:cs="Times New Roman"/>
          <w:b/>
          <w:sz w:val="28"/>
          <w:szCs w:val="28"/>
        </w:rPr>
        <w:t>isko (stojisko) KE</w:t>
      </w:r>
      <w:r w:rsidR="007920FF" w:rsidRPr="007920FF">
        <w:rPr>
          <w:rFonts w:ascii="Times New Roman" w:hAnsi="Times New Roman" w:cs="Times New Roman" w:hint="cs"/>
          <w:b/>
          <w:sz w:val="28"/>
          <w:szCs w:val="28"/>
        </w:rPr>
        <w:t>Ú</w:t>
      </w:r>
      <w:r w:rsidR="007920FF" w:rsidRPr="007920FF">
        <w:rPr>
          <w:rFonts w:ascii="Times New Roman" w:hAnsi="Times New Roman" w:cs="Times New Roman"/>
          <w:b/>
          <w:sz w:val="28"/>
          <w:szCs w:val="28"/>
        </w:rPr>
        <w:t xml:space="preserve"> PZ v Bratislave, </w:t>
      </w:r>
    </w:p>
    <w:p w14:paraId="11DE32E5" w14:textId="4529294B" w:rsidR="001B241E" w:rsidRPr="001B241E" w:rsidRDefault="007920FF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FF">
        <w:rPr>
          <w:rFonts w:ascii="Times New Roman" w:hAnsi="Times New Roman" w:cs="Times New Roman"/>
          <w:b/>
          <w:sz w:val="28"/>
          <w:szCs w:val="28"/>
        </w:rPr>
        <w:t>pracovisko Ko</w:t>
      </w:r>
      <w:r w:rsidRPr="007920FF">
        <w:rPr>
          <w:rFonts w:ascii="Times New Roman" w:hAnsi="Times New Roman" w:cs="Times New Roman" w:hint="cs"/>
          <w:b/>
          <w:sz w:val="28"/>
          <w:szCs w:val="28"/>
        </w:rPr>
        <w:t>š</w:t>
      </w:r>
      <w:r w:rsidRPr="007920FF">
        <w:rPr>
          <w:rFonts w:ascii="Times New Roman" w:hAnsi="Times New Roman" w:cs="Times New Roman"/>
          <w:b/>
          <w:sz w:val="28"/>
          <w:szCs w:val="28"/>
        </w:rPr>
        <w:t>ice a KRPZ KE</w:t>
      </w:r>
      <w:r w:rsidR="001B241E"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 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komitent</w:t>
      </w:r>
      <w:r w:rsidRPr="00186D52">
        <w:rPr>
          <w:rFonts w:ascii="Times New Roman" w:hAnsi="Times New Roman" w:cs="Times New Roman"/>
        </w:rPr>
        <w:t>“)</w:t>
      </w:r>
    </w:p>
    <w:p w14:paraId="0B026255" w14:textId="77777777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186D52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a</w:t>
      </w:r>
    </w:p>
    <w:p w14:paraId="3CD72CB2" w14:textId="645E9BFB" w:rsidR="001B241E" w:rsidRPr="00186D52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Názov: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Sídlo: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V zastúpení: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186D52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Zápis: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  <w:t xml:space="preserve">Obchodný register Okresného/Mestského súdu </w:t>
      </w:r>
      <w:r w:rsidRPr="00186D52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</w:r>
      <w:r w:rsidRPr="00186D52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zmluvných: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Osoba oprávnená na rokovanie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</w:p>
    <w:p w14:paraId="36AD42BD" w14:textId="7547C619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vo veciach technických: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Bankové spojenie: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Číslo účtu/IBAN: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IČO: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 xml:space="preserve">DIČ: 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Kontaktná osoba: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Telefón: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86D52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E-mailová adresa:</w:t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hAnsi="Times New Roman" w:cs="Times New Roman"/>
        </w:rPr>
        <w:tab/>
      </w:r>
      <w:r w:rsidRPr="00186D52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(ďalej len „</w:t>
      </w:r>
      <w:r w:rsidRPr="00186D52">
        <w:rPr>
          <w:rFonts w:ascii="Times New Roman" w:hAnsi="Times New Roman" w:cs="Times New Roman"/>
          <w:b/>
          <w:bCs/>
        </w:rPr>
        <w:t>komisionár</w:t>
      </w:r>
      <w:r w:rsidRPr="00186D52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753301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53301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753301">
        <w:rPr>
          <w:rFonts w:ascii="Times New Roman" w:hAnsi="Times New Roman" w:cs="Times New Roman"/>
        </w:rPr>
        <w:t>[●]</w:t>
      </w:r>
      <w:r w:rsidRPr="00753301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04623621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7920FF" w:rsidRPr="00E12957">
        <w:rPr>
          <w:rFonts w:ascii="Times New Roman" w:hAnsi="Times New Roman"/>
          <w:b/>
          <w:szCs w:val="22"/>
        </w:rPr>
        <w:t>Kontajnerové úložisko (stojisko) KEÚ PZ v B</w:t>
      </w:r>
      <w:r w:rsidR="007920FF">
        <w:rPr>
          <w:rFonts w:ascii="Times New Roman" w:hAnsi="Times New Roman"/>
          <w:b/>
          <w:szCs w:val="22"/>
        </w:rPr>
        <w:t>ratislave</w:t>
      </w:r>
      <w:r w:rsidR="007920FF" w:rsidRPr="00E12957">
        <w:rPr>
          <w:rFonts w:ascii="Times New Roman" w:hAnsi="Times New Roman"/>
          <w:b/>
          <w:szCs w:val="22"/>
        </w:rPr>
        <w:t>, pracovisko Košice a KRPZ KE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2D327F2D" w:rsidR="00AA1139" w:rsidRPr="00723CB0" w:rsidRDefault="00AA1139" w:rsidP="007920FF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7920FF" w:rsidRPr="007920FF">
        <w:rPr>
          <w:rFonts w:ascii="Times New Roman" w:hAnsi="Times New Roman" w:cs="Times New Roman"/>
        </w:rPr>
        <w:t>are</w:t>
      </w:r>
      <w:r w:rsidR="007920FF" w:rsidRPr="007920FF">
        <w:rPr>
          <w:rFonts w:ascii="Times New Roman" w:hAnsi="Times New Roman" w:cs="Times New Roman" w:hint="cs"/>
        </w:rPr>
        <w:t>á</w:t>
      </w:r>
      <w:r w:rsidR="007920FF" w:rsidRPr="007920FF">
        <w:rPr>
          <w:rFonts w:ascii="Times New Roman" w:hAnsi="Times New Roman" w:cs="Times New Roman"/>
        </w:rPr>
        <w:t>l Ministerstva vn</w:t>
      </w:r>
      <w:r w:rsidR="007920FF" w:rsidRPr="007920FF">
        <w:rPr>
          <w:rFonts w:ascii="Times New Roman" w:hAnsi="Times New Roman" w:cs="Times New Roman" w:hint="cs"/>
        </w:rPr>
        <w:t>ú</w:t>
      </w:r>
      <w:r w:rsidR="007920FF" w:rsidRPr="007920FF">
        <w:rPr>
          <w:rFonts w:ascii="Times New Roman" w:hAnsi="Times New Roman" w:cs="Times New Roman"/>
        </w:rPr>
        <w:t>tra Slovenskej republiky, Rampov</w:t>
      </w:r>
      <w:r w:rsidR="007920FF" w:rsidRPr="007920FF">
        <w:rPr>
          <w:rFonts w:ascii="Times New Roman" w:hAnsi="Times New Roman" w:cs="Times New Roman" w:hint="cs"/>
        </w:rPr>
        <w:t>á</w:t>
      </w:r>
      <w:r w:rsidR="007920FF" w:rsidRPr="007920FF">
        <w:rPr>
          <w:rFonts w:ascii="Times New Roman" w:hAnsi="Times New Roman" w:cs="Times New Roman"/>
        </w:rPr>
        <w:t xml:space="preserve"> ulica </w:t>
      </w:r>
      <w:r w:rsidR="007920FF" w:rsidRPr="007920FF">
        <w:rPr>
          <w:rFonts w:ascii="Times New Roman" w:hAnsi="Times New Roman" w:cs="Times New Roman" w:hint="cs"/>
        </w:rPr>
        <w:t>č</w:t>
      </w:r>
      <w:r w:rsidR="007920FF" w:rsidRPr="007920FF">
        <w:rPr>
          <w:rFonts w:ascii="Times New Roman" w:hAnsi="Times New Roman" w:cs="Times New Roman"/>
        </w:rPr>
        <w:t>. 7, 040 01 Ko</w:t>
      </w:r>
      <w:r w:rsidR="007920FF" w:rsidRPr="007920FF">
        <w:rPr>
          <w:rFonts w:ascii="Times New Roman" w:hAnsi="Times New Roman" w:cs="Times New Roman" w:hint="cs"/>
        </w:rPr>
        <w:t>š</w:t>
      </w:r>
      <w:r w:rsidR="007920FF" w:rsidRPr="007920FF">
        <w:rPr>
          <w:rFonts w:ascii="Times New Roman" w:hAnsi="Times New Roman" w:cs="Times New Roman"/>
        </w:rPr>
        <w:t>ice (zap</w:t>
      </w:r>
      <w:r w:rsidR="007920FF" w:rsidRPr="007920FF">
        <w:rPr>
          <w:rFonts w:ascii="Times New Roman" w:hAnsi="Times New Roman" w:cs="Times New Roman" w:hint="cs"/>
        </w:rPr>
        <w:t>í</w:t>
      </w:r>
      <w:r w:rsidR="007920FF" w:rsidRPr="007920FF">
        <w:rPr>
          <w:rFonts w:ascii="Times New Roman" w:hAnsi="Times New Roman" w:cs="Times New Roman"/>
        </w:rPr>
        <w:t>san</w:t>
      </w:r>
      <w:r w:rsidR="007920FF" w:rsidRPr="007920FF">
        <w:rPr>
          <w:rFonts w:ascii="Times New Roman" w:hAnsi="Times New Roman" w:cs="Times New Roman" w:hint="cs"/>
        </w:rPr>
        <w:t>ý</w:t>
      </w:r>
      <w:r w:rsidR="007920FF" w:rsidRPr="007920FF">
        <w:rPr>
          <w:rFonts w:ascii="Times New Roman" w:hAnsi="Times New Roman" w:cs="Times New Roman"/>
        </w:rPr>
        <w:t xml:space="preserve"> na LV </w:t>
      </w:r>
      <w:r w:rsidR="007920FF" w:rsidRPr="007920FF">
        <w:rPr>
          <w:rFonts w:ascii="Times New Roman" w:hAnsi="Times New Roman" w:cs="Times New Roman" w:hint="cs"/>
        </w:rPr>
        <w:t>čí</w:t>
      </w:r>
      <w:r w:rsidR="007920FF" w:rsidRPr="007920FF">
        <w:rPr>
          <w:rFonts w:ascii="Times New Roman" w:hAnsi="Times New Roman" w:cs="Times New Roman"/>
        </w:rPr>
        <w:t>slo 11 457, parceln</w:t>
      </w:r>
      <w:r w:rsidR="007920FF" w:rsidRPr="007920FF">
        <w:rPr>
          <w:rFonts w:ascii="Times New Roman" w:hAnsi="Times New Roman" w:cs="Times New Roman" w:hint="cs"/>
        </w:rPr>
        <w:t>é</w:t>
      </w:r>
      <w:r w:rsidR="007920FF" w:rsidRPr="007920FF">
        <w:rPr>
          <w:rFonts w:ascii="Times New Roman" w:hAnsi="Times New Roman" w:cs="Times New Roman"/>
        </w:rPr>
        <w:t xml:space="preserve"> </w:t>
      </w:r>
      <w:r w:rsidR="007920FF" w:rsidRPr="007920FF">
        <w:rPr>
          <w:rFonts w:ascii="Times New Roman" w:hAnsi="Times New Roman" w:cs="Times New Roman" w:hint="cs"/>
        </w:rPr>
        <w:t>čí</w:t>
      </w:r>
      <w:r w:rsidR="007920FF" w:rsidRPr="007920FF">
        <w:rPr>
          <w:rFonts w:ascii="Times New Roman" w:hAnsi="Times New Roman" w:cs="Times New Roman"/>
        </w:rPr>
        <w:t>slo 3298/6 katastr</w:t>
      </w:r>
      <w:r w:rsidR="007920FF" w:rsidRPr="007920FF">
        <w:rPr>
          <w:rFonts w:ascii="Times New Roman" w:hAnsi="Times New Roman" w:cs="Times New Roman" w:hint="cs"/>
        </w:rPr>
        <w:t>á</w:t>
      </w:r>
      <w:r w:rsidR="007920FF" w:rsidRPr="007920FF">
        <w:rPr>
          <w:rFonts w:ascii="Times New Roman" w:hAnsi="Times New Roman" w:cs="Times New Roman"/>
        </w:rPr>
        <w:t xml:space="preserve">lne </w:t>
      </w:r>
      <w:r w:rsidR="007920FF" w:rsidRPr="007920FF">
        <w:rPr>
          <w:rFonts w:ascii="Times New Roman" w:hAnsi="Times New Roman" w:cs="Times New Roman" w:hint="cs"/>
        </w:rPr>
        <w:t>ú</w:t>
      </w:r>
      <w:r w:rsidR="007920FF" w:rsidRPr="007920FF">
        <w:rPr>
          <w:rFonts w:ascii="Times New Roman" w:hAnsi="Times New Roman" w:cs="Times New Roman"/>
        </w:rPr>
        <w:t>zemie Stredn</w:t>
      </w:r>
      <w:r w:rsidR="007920FF" w:rsidRPr="007920FF">
        <w:rPr>
          <w:rFonts w:ascii="Times New Roman" w:hAnsi="Times New Roman" w:cs="Times New Roman" w:hint="cs"/>
        </w:rPr>
        <w:t>é</w:t>
      </w:r>
      <w:r w:rsidR="007920FF" w:rsidRPr="007920FF">
        <w:rPr>
          <w:rFonts w:ascii="Times New Roman" w:hAnsi="Times New Roman" w:cs="Times New Roman"/>
        </w:rPr>
        <w:t xml:space="preserve"> Mesto)</w:t>
      </w:r>
    </w:p>
    <w:p w14:paraId="3563FD3D" w14:textId="757861EB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86D52">
        <w:rPr>
          <w:rFonts w:ascii="Times New Roman" w:hAnsi="Times New Roman" w:cs="Times New Roman"/>
        </w:rPr>
        <w:t>se</w:t>
      </w:r>
      <w:r w:rsidR="00E522C9">
        <w:rPr>
          <w:rFonts w:ascii="Times New Roman" w:hAnsi="Times New Roman" w:cs="Times New Roman"/>
        </w:rPr>
        <w:t>de</w:t>
      </w:r>
      <w:r w:rsidR="00186D52">
        <w:rPr>
          <w:rFonts w:ascii="Times New Roman" w:hAnsi="Times New Roman" w:cs="Times New Roman"/>
        </w:rPr>
        <w:t>m</w:t>
      </w:r>
      <w:r w:rsidR="00153CB0">
        <w:rPr>
          <w:rFonts w:ascii="Times New Roman" w:hAnsi="Times New Roman" w:cs="Times New Roman"/>
        </w:rPr>
        <w:t xml:space="preserve"> (</w:t>
      </w:r>
      <w:r w:rsidR="00E522C9">
        <w:rPr>
          <w:rFonts w:ascii="Times New Roman" w:hAnsi="Times New Roman" w:cs="Times New Roman"/>
        </w:rPr>
        <w:t>7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E522C9">
      <w:pPr>
        <w:pStyle w:val="Odsekzoznamu"/>
        <w:numPr>
          <w:ilvl w:val="0"/>
          <w:numId w:val="3"/>
        </w:numPr>
        <w:spacing w:before="120"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66D7D514" w:rsidR="00AA1139" w:rsidRDefault="00AA1139" w:rsidP="007920FF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7920FF" w:rsidRPr="007920FF">
        <w:rPr>
          <w:rFonts w:ascii="Times New Roman" w:hAnsi="Times New Roman" w:cs="Times New Roman"/>
        </w:rPr>
        <w:t>Kontajnerov</w:t>
      </w:r>
      <w:r w:rsidR="007920FF" w:rsidRPr="007920FF">
        <w:rPr>
          <w:rFonts w:ascii="Times New Roman" w:hAnsi="Times New Roman" w:cs="Times New Roman" w:hint="cs"/>
        </w:rPr>
        <w:t>é</w:t>
      </w:r>
      <w:r w:rsidR="007920FF" w:rsidRPr="007920FF">
        <w:rPr>
          <w:rFonts w:ascii="Times New Roman" w:hAnsi="Times New Roman" w:cs="Times New Roman"/>
        </w:rPr>
        <w:t xml:space="preserve"> </w:t>
      </w:r>
      <w:r w:rsidR="007920FF" w:rsidRPr="007920FF">
        <w:rPr>
          <w:rFonts w:ascii="Times New Roman" w:hAnsi="Times New Roman" w:cs="Times New Roman" w:hint="cs"/>
        </w:rPr>
        <w:t>ú</w:t>
      </w:r>
      <w:r w:rsidR="007920FF" w:rsidRPr="007920FF">
        <w:rPr>
          <w:rFonts w:ascii="Times New Roman" w:hAnsi="Times New Roman" w:cs="Times New Roman"/>
        </w:rPr>
        <w:t>lo</w:t>
      </w:r>
      <w:r w:rsidR="007920FF" w:rsidRPr="007920FF">
        <w:rPr>
          <w:rFonts w:ascii="Times New Roman" w:hAnsi="Times New Roman" w:cs="Times New Roman" w:hint="cs"/>
        </w:rPr>
        <w:t>ž</w:t>
      </w:r>
      <w:r w:rsidR="007920FF" w:rsidRPr="007920FF">
        <w:rPr>
          <w:rFonts w:ascii="Times New Roman" w:hAnsi="Times New Roman" w:cs="Times New Roman"/>
        </w:rPr>
        <w:t>isko (stojisko) KE</w:t>
      </w:r>
      <w:r w:rsidR="007920FF" w:rsidRPr="007920FF">
        <w:rPr>
          <w:rFonts w:ascii="Times New Roman" w:hAnsi="Times New Roman" w:cs="Times New Roman" w:hint="cs"/>
        </w:rPr>
        <w:t>Ú</w:t>
      </w:r>
      <w:r w:rsidR="007920FF" w:rsidRPr="007920FF">
        <w:rPr>
          <w:rFonts w:ascii="Times New Roman" w:hAnsi="Times New Roman" w:cs="Times New Roman"/>
        </w:rPr>
        <w:t xml:space="preserve"> PZ v Bratislave, pracovisko Ko</w:t>
      </w:r>
      <w:r w:rsidR="007920FF" w:rsidRPr="007920FF">
        <w:rPr>
          <w:rFonts w:ascii="Times New Roman" w:hAnsi="Times New Roman" w:cs="Times New Roman" w:hint="cs"/>
        </w:rPr>
        <w:t>š</w:t>
      </w:r>
      <w:r w:rsidR="007920FF" w:rsidRPr="007920FF">
        <w:rPr>
          <w:rFonts w:ascii="Times New Roman" w:hAnsi="Times New Roman" w:cs="Times New Roman"/>
        </w:rPr>
        <w:t>ice a KRPZ KE</w:t>
      </w:r>
      <w:r w:rsidRPr="00723CB0">
        <w:rPr>
          <w:rFonts w:ascii="Times New Roman" w:hAnsi="Times New Roman" w:cs="Times New Roman"/>
        </w:rPr>
        <w:t>“ s</w:t>
      </w:r>
      <w:r w:rsidR="00186D52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vyjadreniami dotknutých orgánov štátnej správy, obce a iných organizácií,</w:t>
      </w:r>
    </w:p>
    <w:p w14:paraId="7FF9540B" w14:textId="59375D45" w:rsidR="004B5046" w:rsidRPr="00E522C9" w:rsidRDefault="004B5046" w:rsidP="00E522C9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E522C9">
        <w:rPr>
          <w:rFonts w:ascii="Times New Roman" w:hAnsi="Times New Roman" w:cs="Times New Roman"/>
        </w:rPr>
        <w:t xml:space="preserve">právoplatné stavebné povolenia vydané oddelením stavebného poriadku a odborných činností </w:t>
      </w:r>
      <w:r w:rsidR="007920FF" w:rsidRPr="007A441D">
        <w:t>SE MV SR č.</w:t>
      </w:r>
      <w:r w:rsidR="007920FF">
        <w:t>: SE-OSPOČ-182-12/2025 zo dňa 08</w:t>
      </w:r>
      <w:r w:rsidR="007920FF" w:rsidRPr="006F33D9">
        <w:t>.</w:t>
      </w:r>
      <w:r w:rsidR="007920FF">
        <w:t>08</w:t>
      </w:r>
      <w:r w:rsidR="007920FF" w:rsidRPr="006F33D9">
        <w:t>.20</w:t>
      </w:r>
      <w:r w:rsidR="007920FF">
        <w:t xml:space="preserve">25 </w:t>
      </w:r>
      <w:r w:rsidR="007920FF" w:rsidRPr="0028049C">
        <w:t xml:space="preserve">s nadobudnutou právoplatnosťou dňa </w:t>
      </w:r>
      <w:r w:rsidR="007920FF">
        <w:t>04.09.2025.</w:t>
      </w:r>
    </w:p>
    <w:p w14:paraId="3F56AC5C" w14:textId="44E9FBA4" w:rsidR="00AA1139" w:rsidRPr="00723CB0" w:rsidRDefault="00AA1139" w:rsidP="00E522C9">
      <w:pPr>
        <w:pStyle w:val="Odsekzoznamu"/>
        <w:numPr>
          <w:ilvl w:val="0"/>
          <w:numId w:val="6"/>
        </w:numPr>
        <w:spacing w:before="120"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Zmluvy o dielo na realizáciu diela č.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 zo d</w:t>
      </w:r>
      <w:r w:rsidR="00186D52" w:rsidRPr="00186D52">
        <w:rPr>
          <w:rFonts w:ascii="Times New Roman" w:hAnsi="Times New Roman" w:cs="Times New Roman" w:hint="cs"/>
        </w:rPr>
        <w:t>ň</w:t>
      </w:r>
      <w:r w:rsidR="00186D52" w:rsidRPr="00186D52">
        <w:rPr>
          <w:rFonts w:ascii="Times New Roman" w:hAnsi="Times New Roman" w:cs="Times New Roman"/>
        </w:rPr>
        <w:t xml:space="preserve">a 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 medzi. MV SR (</w:t>
      </w:r>
      <w:r w:rsidR="00186D52" w:rsidRPr="00186D52">
        <w:rPr>
          <w:rFonts w:ascii="Times New Roman" w:hAnsi="Times New Roman" w:cs="Times New Roman" w:hint="cs"/>
        </w:rPr>
        <w:t>ď</w:t>
      </w:r>
      <w:r w:rsidR="00186D52" w:rsidRPr="00186D52">
        <w:rPr>
          <w:rFonts w:ascii="Times New Roman" w:hAnsi="Times New Roman" w:cs="Times New Roman"/>
        </w:rPr>
        <w:t xml:space="preserve">alej len </w:t>
      </w:r>
      <w:r w:rsidR="00186D52" w:rsidRPr="00186D52">
        <w:rPr>
          <w:rFonts w:ascii="Times New Roman" w:hAnsi="Times New Roman" w:cs="Times New Roman" w:hint="cs"/>
        </w:rPr>
        <w:t>“</w:t>
      </w:r>
      <w:r w:rsidR="00186D52" w:rsidRPr="00186D52">
        <w:rPr>
          <w:rFonts w:ascii="Times New Roman" w:hAnsi="Times New Roman" w:cs="Times New Roman"/>
        </w:rPr>
        <w:t>objedn</w:t>
      </w:r>
      <w:r w:rsidR="00186D52" w:rsidRPr="00186D52">
        <w:rPr>
          <w:rFonts w:ascii="Times New Roman" w:hAnsi="Times New Roman" w:cs="Times New Roman" w:hint="cs"/>
        </w:rPr>
        <w:t>á</w:t>
      </w:r>
      <w:r w:rsidR="00186D52" w:rsidRPr="00186D52">
        <w:rPr>
          <w:rFonts w:ascii="Times New Roman" w:hAnsi="Times New Roman" w:cs="Times New Roman"/>
        </w:rPr>
        <w:t>vate</w:t>
      </w:r>
      <w:r w:rsidR="00186D52" w:rsidRPr="00186D52">
        <w:rPr>
          <w:rFonts w:ascii="Times New Roman" w:hAnsi="Times New Roman" w:cs="Times New Roman" w:hint="cs"/>
        </w:rPr>
        <w:t>ľ“</w:t>
      </w:r>
      <w:r w:rsidR="00186D52" w:rsidRPr="00186D52">
        <w:rPr>
          <w:rFonts w:ascii="Times New Roman" w:hAnsi="Times New Roman" w:cs="Times New Roman"/>
        </w:rPr>
        <w:t xml:space="preserve">) a </w:t>
      </w:r>
      <w:r w:rsidR="00E522C9">
        <w:rPr>
          <w:rFonts w:ascii="Times New Roman" w:hAnsi="Times New Roman" w:cs="Times New Roman"/>
        </w:rPr>
        <w:t>...</w:t>
      </w:r>
      <w:r w:rsidR="00186D52" w:rsidRPr="00186D52">
        <w:rPr>
          <w:rFonts w:ascii="Times New Roman" w:hAnsi="Times New Roman" w:cs="Times New Roman"/>
        </w:rPr>
        <w:t xml:space="preserve">. </w:t>
      </w:r>
      <w:r w:rsidRPr="00723CB0">
        <w:rPr>
          <w:rFonts w:ascii="Times New Roman" w:hAnsi="Times New Roman" w:cs="Times New Roman"/>
        </w:rPr>
        <w:t xml:space="preserve"> (ďalej len “zhotoviteľ”) (ďalej len „ZoD“) vrátane jej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29FA7125" w:rsidR="006C4534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86D52">
        <w:rPr>
          <w:rFonts w:ascii="Times New Roman" w:hAnsi="Times New Roman" w:cs="Times New Roman"/>
          <w:b/>
          <w:bCs/>
        </w:rPr>
        <w:t>[●] EUR</w:t>
      </w:r>
    </w:p>
    <w:p w14:paraId="07D364DF" w14:textId="77777777" w:rsidR="007920FF" w:rsidRPr="00186D52" w:rsidRDefault="007920FF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130B9203" w14:textId="3E02125C" w:rsidR="006C4534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186D52">
        <w:rPr>
          <w:rFonts w:ascii="Times New Roman" w:hAnsi="Times New Roman" w:cs="Times New Roman"/>
        </w:rPr>
        <w:t>(slovom:  [●]  EUR)</w:t>
      </w:r>
    </w:p>
    <w:p w14:paraId="70873A85" w14:textId="77777777" w:rsidR="007920FF" w:rsidRPr="00723CB0" w:rsidRDefault="007920FF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46B9BFEB" w14:textId="77777777" w:rsidR="007920FF" w:rsidRDefault="007920FF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E6B289" w14:textId="4972732F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nej 50% </w:t>
      </w:r>
      <w:proofErr w:type="spellStart"/>
      <w:r w:rsidRPr="006C4534">
        <w:rPr>
          <w:rFonts w:ascii="Times New Roman" w:hAnsi="Times New Roman" w:cs="Times New Roman"/>
        </w:rPr>
        <w:t>prestavanosti</w:t>
      </w:r>
      <w:proofErr w:type="spellEnd"/>
      <w:r w:rsidRPr="006C4534">
        <w:rPr>
          <w:rFonts w:ascii="Times New Roman" w:hAnsi="Times New Roman" w:cs="Times New Roman"/>
        </w:rPr>
        <w:t xml:space="preserve">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/>
        </w:rPr>
        <w:lastRenderedPageBreak/>
        <w:t>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lastRenderedPageBreak/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E74349">
        <w:rPr>
          <w:rFonts w:ascii="Times New Roman" w:hAnsi="Times New Roman" w:cs="Times New Roman"/>
        </w:rPr>
        <w:t>Governmente</w:t>
      </w:r>
      <w:proofErr w:type="spellEnd"/>
      <w:r w:rsidRPr="00E74349">
        <w:rPr>
          <w:rFonts w:ascii="Times New Roman" w:hAnsi="Times New Roman" w:cs="Times New Roman"/>
        </w:rPr>
        <w:t>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5050EB79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="007920FF" w:rsidRPr="007920FF">
        <w:rPr>
          <w:rFonts w:ascii="Times New Roman" w:hAnsi="Times New Roman" w:cs="Times New Roman" w:hint="cs"/>
          <w:b/>
          <w:bCs/>
        </w:rPr>
        <w:t>č</w:t>
      </w:r>
      <w:r w:rsidR="007920FF" w:rsidRPr="007920FF">
        <w:rPr>
          <w:rFonts w:ascii="Times New Roman" w:hAnsi="Times New Roman" w:cs="Times New Roman"/>
          <w:b/>
          <w:bCs/>
        </w:rPr>
        <w:t>. SE-OI2-2026/010629-005</w:t>
      </w:r>
      <w:bookmarkStart w:id="0" w:name="_GoBack"/>
      <w:bookmarkEnd w:id="0"/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86D52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79F8B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86D52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  <w:vAlign w:val="center"/>
          </w:tcPr>
          <w:p w14:paraId="3C601DB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  <w:vAlign w:val="center"/>
          </w:tcPr>
          <w:p w14:paraId="4E60B090" w14:textId="0F32F197" w:rsidR="00153CB0" w:rsidRPr="00153CB0" w:rsidRDefault="00153CB0" w:rsidP="00186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Hodinová sadzba</w:t>
            </w:r>
          </w:p>
          <w:p w14:paraId="6E625396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  <w:vAlign w:val="center"/>
          </w:tcPr>
          <w:p w14:paraId="4D2D8213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5E3F1FC" w14:textId="77777777" w:rsidR="00153CB0" w:rsidRPr="00153CB0" w:rsidRDefault="00153CB0" w:rsidP="00186D52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8E6A9" w14:textId="77777777" w:rsidR="00166D15" w:rsidRDefault="00166D15" w:rsidP="001B241E">
      <w:pPr>
        <w:spacing w:after="0" w:line="240" w:lineRule="auto"/>
      </w:pPr>
      <w:r>
        <w:separator/>
      </w:r>
    </w:p>
  </w:endnote>
  <w:endnote w:type="continuationSeparator" w:id="0">
    <w:p w14:paraId="28FC8CE2" w14:textId="77777777" w:rsidR="00166D15" w:rsidRDefault="00166D15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5FA5B58D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20FF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1BD2" w14:textId="77777777" w:rsidR="00166D15" w:rsidRDefault="00166D15" w:rsidP="001B241E">
      <w:pPr>
        <w:spacing w:after="0" w:line="240" w:lineRule="auto"/>
      </w:pPr>
      <w:r>
        <w:separator/>
      </w:r>
    </w:p>
  </w:footnote>
  <w:footnote w:type="continuationSeparator" w:id="0">
    <w:p w14:paraId="57C893F2" w14:textId="77777777" w:rsidR="00166D15" w:rsidRDefault="00166D15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4B39059D" w:rsidR="001B241E" w:rsidRPr="001B241E" w:rsidRDefault="00695949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>
      <w:rPr>
        <w:rFonts w:ascii="Times New Roman" w:hAnsi="Times New Roman" w:cs="Times New Roman"/>
        <w:bCs/>
        <w:sz w:val="22"/>
        <w:szCs w:val="22"/>
      </w:rPr>
      <w:t>Príloha č. 2</w:t>
    </w:r>
    <w:r w:rsidR="001B241E" w:rsidRPr="001B241E">
      <w:rPr>
        <w:rFonts w:ascii="Times New Roman" w:hAnsi="Times New Roman" w:cs="Times New Roman"/>
        <w:bCs/>
        <w:sz w:val="22"/>
        <w:szCs w:val="22"/>
      </w:rPr>
      <w:t xml:space="preserve">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90B4E224"/>
    <w:lvl w:ilvl="0" w:tplc="89CCEA00">
      <w:start w:val="1"/>
      <w:numFmt w:val="lowerLetter"/>
      <w:lvlText w:val="%1)"/>
      <w:lvlJc w:val="left"/>
      <w:pPr>
        <w:ind w:left="1636" w:hanging="360"/>
      </w:pPr>
      <w:rPr>
        <w:rFonts w:hint="default"/>
        <w:b w:val="0"/>
        <w:i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66D15"/>
    <w:rsid w:val="00186D52"/>
    <w:rsid w:val="00196140"/>
    <w:rsid w:val="001B241E"/>
    <w:rsid w:val="00244AB5"/>
    <w:rsid w:val="002A2274"/>
    <w:rsid w:val="003357FB"/>
    <w:rsid w:val="003B4CD5"/>
    <w:rsid w:val="003C171A"/>
    <w:rsid w:val="004B5046"/>
    <w:rsid w:val="00572FC0"/>
    <w:rsid w:val="00695949"/>
    <w:rsid w:val="006C1019"/>
    <w:rsid w:val="006C4534"/>
    <w:rsid w:val="00723717"/>
    <w:rsid w:val="00723CB0"/>
    <w:rsid w:val="00753301"/>
    <w:rsid w:val="007920FF"/>
    <w:rsid w:val="00810E09"/>
    <w:rsid w:val="00843A55"/>
    <w:rsid w:val="00925A05"/>
    <w:rsid w:val="009317BB"/>
    <w:rsid w:val="00AA1139"/>
    <w:rsid w:val="00B43AAD"/>
    <w:rsid w:val="00C45271"/>
    <w:rsid w:val="00E522C9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69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8</cp:revision>
  <cp:lastPrinted>2025-02-20T12:40:00Z</cp:lastPrinted>
  <dcterms:created xsi:type="dcterms:W3CDTF">2025-02-20T08:57:00Z</dcterms:created>
  <dcterms:modified xsi:type="dcterms:W3CDTF">2026-02-06T10:14:00Z</dcterms:modified>
</cp:coreProperties>
</file>