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7C33783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</w:t>
      </w:r>
      <w:r w:rsid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920FF" w:rsidRP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010629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4F4A7A7F" w:rsidR="001B241E" w:rsidRPr="001B241E" w:rsidRDefault="001B241E" w:rsidP="00974E4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974E4A" w:rsidRPr="00974E4A">
        <w:rPr>
          <w:rFonts w:ascii="Times New Roman" w:hAnsi="Times New Roman" w:cs="Times New Roman"/>
          <w:b/>
          <w:sz w:val="28"/>
          <w:szCs w:val="28"/>
        </w:rPr>
        <w:t>Bansk</w:t>
      </w:r>
      <w:r w:rsidR="00974E4A" w:rsidRPr="00974E4A">
        <w:rPr>
          <w:rFonts w:ascii="Times New Roman" w:hAnsi="Times New Roman" w:cs="Times New Roman" w:hint="cs"/>
          <w:b/>
          <w:sz w:val="28"/>
          <w:szCs w:val="28"/>
        </w:rPr>
        <w:t>á</w:t>
      </w:r>
      <w:r w:rsidR="00974E4A" w:rsidRPr="00974E4A">
        <w:rPr>
          <w:rFonts w:ascii="Times New Roman" w:hAnsi="Times New Roman" w:cs="Times New Roman"/>
          <w:b/>
          <w:sz w:val="28"/>
          <w:szCs w:val="28"/>
        </w:rPr>
        <w:t xml:space="preserve"> Bystrica O</w:t>
      </w:r>
      <w:r w:rsidR="00974E4A" w:rsidRPr="00974E4A">
        <w:rPr>
          <w:rFonts w:ascii="Times New Roman" w:hAnsi="Times New Roman" w:cs="Times New Roman" w:hint="cs"/>
          <w:b/>
          <w:sz w:val="28"/>
          <w:szCs w:val="28"/>
        </w:rPr>
        <w:t>Ú</w:t>
      </w:r>
      <w:r w:rsidR="00974E4A" w:rsidRPr="00974E4A">
        <w:rPr>
          <w:rFonts w:ascii="Times New Roman" w:hAnsi="Times New Roman" w:cs="Times New Roman"/>
          <w:b/>
          <w:sz w:val="28"/>
          <w:szCs w:val="28"/>
        </w:rPr>
        <w:t>, rekon</w:t>
      </w:r>
      <w:r w:rsidR="00974E4A" w:rsidRPr="00974E4A">
        <w:rPr>
          <w:rFonts w:ascii="Times New Roman" w:hAnsi="Times New Roman" w:cs="Times New Roman" w:hint="cs"/>
          <w:b/>
          <w:sz w:val="28"/>
          <w:szCs w:val="28"/>
        </w:rPr>
        <w:t>š</w:t>
      </w:r>
      <w:r w:rsidR="00974E4A" w:rsidRPr="00974E4A">
        <w:rPr>
          <w:rFonts w:ascii="Times New Roman" w:hAnsi="Times New Roman" w:cs="Times New Roman"/>
          <w:b/>
          <w:sz w:val="28"/>
          <w:szCs w:val="28"/>
        </w:rPr>
        <w:t>trukcia priestorov pre KC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 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komitent</w:t>
      </w:r>
      <w:r w:rsidRPr="00186D52">
        <w:rPr>
          <w:rFonts w:ascii="Times New Roman" w:hAnsi="Times New Roman" w:cs="Times New Roman"/>
        </w:rPr>
        <w:t>“)</w:t>
      </w:r>
    </w:p>
    <w:p w14:paraId="0B026255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a</w:t>
      </w:r>
    </w:p>
    <w:p w14:paraId="3CD72CB2" w14:textId="645E9BFB" w:rsidR="001B241E" w:rsidRPr="00186D52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Názov: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 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186D52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Zápis: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 xml:space="preserve">Obchodný register Okresného/Mestského súdu </w:t>
      </w:r>
      <w:r w:rsidRPr="00186D52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</w:p>
    <w:p w14:paraId="36AD42BD" w14:textId="7547C619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komisionár</w:t>
      </w:r>
      <w:r w:rsidRPr="00186D52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753301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53301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753301">
        <w:rPr>
          <w:rFonts w:ascii="Times New Roman" w:hAnsi="Times New Roman" w:cs="Times New Roman"/>
        </w:rPr>
        <w:t>[●]</w:t>
      </w:r>
      <w:r w:rsidRPr="00753301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17B7F514" w:rsidR="00AA1139" w:rsidRPr="00723CB0" w:rsidRDefault="00AA1139" w:rsidP="00974E4A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974E4A" w:rsidRPr="00974E4A">
        <w:rPr>
          <w:rFonts w:ascii="Times New Roman" w:hAnsi="Times New Roman"/>
          <w:b/>
          <w:szCs w:val="22"/>
        </w:rPr>
        <w:t>Bansk</w:t>
      </w:r>
      <w:r w:rsidR="00974E4A" w:rsidRPr="00974E4A">
        <w:rPr>
          <w:rFonts w:ascii="Times New Roman" w:hAnsi="Times New Roman" w:hint="cs"/>
          <w:b/>
          <w:szCs w:val="22"/>
        </w:rPr>
        <w:t>á</w:t>
      </w:r>
      <w:r w:rsidR="00974E4A" w:rsidRPr="00974E4A">
        <w:rPr>
          <w:rFonts w:ascii="Times New Roman" w:hAnsi="Times New Roman"/>
          <w:b/>
          <w:szCs w:val="22"/>
        </w:rPr>
        <w:t xml:space="preserve"> Bystrica O</w:t>
      </w:r>
      <w:r w:rsidR="00974E4A" w:rsidRPr="00974E4A">
        <w:rPr>
          <w:rFonts w:ascii="Times New Roman" w:hAnsi="Times New Roman" w:hint="cs"/>
          <w:b/>
          <w:szCs w:val="22"/>
        </w:rPr>
        <w:t>Ú</w:t>
      </w:r>
      <w:r w:rsidR="00974E4A" w:rsidRPr="00974E4A">
        <w:rPr>
          <w:rFonts w:ascii="Times New Roman" w:hAnsi="Times New Roman"/>
          <w:b/>
          <w:szCs w:val="22"/>
        </w:rPr>
        <w:t>, rekon</w:t>
      </w:r>
      <w:r w:rsidR="00974E4A" w:rsidRPr="00974E4A">
        <w:rPr>
          <w:rFonts w:ascii="Times New Roman" w:hAnsi="Times New Roman" w:hint="cs"/>
          <w:b/>
          <w:szCs w:val="22"/>
        </w:rPr>
        <w:t>š</w:t>
      </w:r>
      <w:r w:rsidR="00974E4A" w:rsidRPr="00974E4A">
        <w:rPr>
          <w:rFonts w:ascii="Times New Roman" w:hAnsi="Times New Roman"/>
          <w:b/>
          <w:szCs w:val="22"/>
        </w:rPr>
        <w:t>trukcia priestorov pre KC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4D231716" w:rsidR="00AA1139" w:rsidRPr="00723CB0" w:rsidRDefault="00AA1139" w:rsidP="00974E4A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974E4A" w:rsidRPr="00974E4A">
        <w:rPr>
          <w:rFonts w:ascii="Times New Roman" w:hAnsi="Times New Roman" w:cs="Times New Roman"/>
        </w:rPr>
        <w:t>Okresn</w:t>
      </w:r>
      <w:r w:rsidR="00974E4A" w:rsidRPr="00974E4A">
        <w:rPr>
          <w:rFonts w:ascii="Times New Roman" w:hAnsi="Times New Roman" w:cs="Times New Roman" w:hint="cs"/>
        </w:rPr>
        <w:t>ý</w:t>
      </w:r>
      <w:r w:rsidR="00974E4A" w:rsidRPr="00974E4A">
        <w:rPr>
          <w:rFonts w:ascii="Times New Roman" w:hAnsi="Times New Roman" w:cs="Times New Roman"/>
        </w:rPr>
        <w:t xml:space="preserve"> </w:t>
      </w:r>
      <w:r w:rsidR="00974E4A" w:rsidRPr="00974E4A">
        <w:rPr>
          <w:rFonts w:ascii="Times New Roman" w:hAnsi="Times New Roman" w:cs="Times New Roman" w:hint="cs"/>
        </w:rPr>
        <w:t>ú</w:t>
      </w:r>
      <w:r w:rsidR="00974E4A" w:rsidRPr="00974E4A">
        <w:rPr>
          <w:rFonts w:ascii="Times New Roman" w:hAnsi="Times New Roman" w:cs="Times New Roman"/>
        </w:rPr>
        <w:t>rad Bansk</w:t>
      </w:r>
      <w:r w:rsidR="00974E4A" w:rsidRPr="00974E4A">
        <w:rPr>
          <w:rFonts w:ascii="Times New Roman" w:hAnsi="Times New Roman" w:cs="Times New Roman" w:hint="cs"/>
        </w:rPr>
        <w:t>á</w:t>
      </w:r>
      <w:r w:rsidR="00974E4A" w:rsidRPr="00974E4A">
        <w:rPr>
          <w:rFonts w:ascii="Times New Roman" w:hAnsi="Times New Roman" w:cs="Times New Roman"/>
        </w:rPr>
        <w:t xml:space="preserve"> Bystrica, N</w:t>
      </w:r>
      <w:r w:rsidR="00974E4A" w:rsidRPr="00974E4A">
        <w:rPr>
          <w:rFonts w:ascii="Times New Roman" w:hAnsi="Times New Roman" w:cs="Times New Roman" w:hint="cs"/>
        </w:rPr>
        <w:t>á</w:t>
      </w:r>
      <w:r w:rsidR="00974E4A" w:rsidRPr="00974E4A">
        <w:rPr>
          <w:rFonts w:ascii="Times New Roman" w:hAnsi="Times New Roman" w:cs="Times New Roman"/>
        </w:rPr>
        <w:t xml:space="preserve">m. </w:t>
      </w:r>
      <w:r w:rsidR="00974E4A" w:rsidRPr="00974E4A">
        <w:rPr>
          <w:rFonts w:ascii="Times New Roman" w:hAnsi="Times New Roman" w:cs="Times New Roman" w:hint="cs"/>
        </w:rPr>
        <w:t>Ľ</w:t>
      </w:r>
      <w:r w:rsidR="00974E4A" w:rsidRPr="00974E4A">
        <w:rPr>
          <w:rFonts w:ascii="Times New Roman" w:hAnsi="Times New Roman" w:cs="Times New Roman"/>
        </w:rPr>
        <w:t xml:space="preserve">. </w:t>
      </w:r>
      <w:r w:rsidR="00974E4A" w:rsidRPr="00974E4A">
        <w:rPr>
          <w:rFonts w:ascii="Times New Roman" w:hAnsi="Times New Roman" w:cs="Times New Roman" w:hint="cs"/>
        </w:rPr>
        <w:t>Š</w:t>
      </w:r>
      <w:r w:rsidR="00974E4A" w:rsidRPr="00974E4A">
        <w:rPr>
          <w:rFonts w:ascii="Times New Roman" w:hAnsi="Times New Roman" w:cs="Times New Roman"/>
        </w:rPr>
        <w:t>t</w:t>
      </w:r>
      <w:r w:rsidR="00974E4A" w:rsidRPr="00974E4A">
        <w:rPr>
          <w:rFonts w:ascii="Times New Roman" w:hAnsi="Times New Roman" w:cs="Times New Roman" w:hint="cs"/>
        </w:rPr>
        <w:t>ú</w:t>
      </w:r>
      <w:r w:rsidR="00974E4A" w:rsidRPr="00974E4A">
        <w:rPr>
          <w:rFonts w:ascii="Times New Roman" w:hAnsi="Times New Roman" w:cs="Times New Roman"/>
        </w:rPr>
        <w:t xml:space="preserve">ra </w:t>
      </w:r>
      <w:r w:rsidR="00974E4A" w:rsidRPr="00974E4A">
        <w:rPr>
          <w:rFonts w:ascii="Times New Roman" w:hAnsi="Times New Roman" w:cs="Times New Roman" w:hint="cs"/>
        </w:rPr>
        <w:t>č</w:t>
      </w:r>
      <w:r w:rsidR="00974E4A" w:rsidRPr="00974E4A">
        <w:rPr>
          <w:rFonts w:ascii="Times New Roman" w:hAnsi="Times New Roman" w:cs="Times New Roman"/>
        </w:rPr>
        <w:t>. 1, Bansk</w:t>
      </w:r>
      <w:r w:rsidR="00974E4A" w:rsidRPr="00974E4A">
        <w:rPr>
          <w:rFonts w:ascii="Times New Roman" w:hAnsi="Times New Roman" w:cs="Times New Roman" w:hint="cs"/>
        </w:rPr>
        <w:t>á</w:t>
      </w:r>
      <w:r w:rsidR="00974E4A" w:rsidRPr="00974E4A">
        <w:rPr>
          <w:rFonts w:ascii="Times New Roman" w:hAnsi="Times New Roman" w:cs="Times New Roman"/>
        </w:rPr>
        <w:t xml:space="preserve"> Bystrica</w:t>
      </w:r>
    </w:p>
    <w:p w14:paraId="3563FD3D" w14:textId="5E558FD2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E522C9">
        <w:rPr>
          <w:rFonts w:ascii="Times New Roman" w:hAnsi="Times New Roman" w:cs="Times New Roman"/>
        </w:rPr>
        <w:t>de</w:t>
      </w:r>
      <w:r w:rsidR="00974E4A">
        <w:rPr>
          <w:rFonts w:ascii="Times New Roman" w:hAnsi="Times New Roman" w:cs="Times New Roman"/>
        </w:rPr>
        <w:t>sať</w:t>
      </w:r>
      <w:r w:rsidR="00153CB0">
        <w:rPr>
          <w:rFonts w:ascii="Times New Roman" w:hAnsi="Times New Roman" w:cs="Times New Roman"/>
        </w:rPr>
        <w:t xml:space="preserve"> (</w:t>
      </w:r>
      <w:r w:rsidR="00974E4A">
        <w:rPr>
          <w:rFonts w:ascii="Times New Roman" w:hAnsi="Times New Roman" w:cs="Times New Roman"/>
        </w:rPr>
        <w:t>10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73B2804B" w:rsidR="00AA1139" w:rsidRDefault="00AA1139" w:rsidP="00974E4A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974E4A" w:rsidRPr="00974E4A">
        <w:rPr>
          <w:rFonts w:ascii="Times New Roman" w:hAnsi="Times New Roman" w:cs="Times New Roman"/>
        </w:rPr>
        <w:t>Bansk</w:t>
      </w:r>
      <w:r w:rsidR="00974E4A" w:rsidRPr="00974E4A">
        <w:rPr>
          <w:rFonts w:ascii="Times New Roman" w:hAnsi="Times New Roman" w:cs="Times New Roman" w:hint="cs"/>
        </w:rPr>
        <w:t>á</w:t>
      </w:r>
      <w:r w:rsidR="00974E4A" w:rsidRPr="00974E4A">
        <w:rPr>
          <w:rFonts w:ascii="Times New Roman" w:hAnsi="Times New Roman" w:cs="Times New Roman"/>
        </w:rPr>
        <w:t xml:space="preserve"> Bystrica O</w:t>
      </w:r>
      <w:r w:rsidR="00974E4A" w:rsidRPr="00974E4A">
        <w:rPr>
          <w:rFonts w:ascii="Times New Roman" w:hAnsi="Times New Roman" w:cs="Times New Roman" w:hint="cs"/>
        </w:rPr>
        <w:t>Ú</w:t>
      </w:r>
      <w:r w:rsidR="00974E4A" w:rsidRPr="00974E4A">
        <w:rPr>
          <w:rFonts w:ascii="Times New Roman" w:hAnsi="Times New Roman" w:cs="Times New Roman"/>
        </w:rPr>
        <w:t>, rekon</w:t>
      </w:r>
      <w:r w:rsidR="00974E4A" w:rsidRPr="00974E4A">
        <w:rPr>
          <w:rFonts w:ascii="Times New Roman" w:hAnsi="Times New Roman" w:cs="Times New Roman" w:hint="cs"/>
        </w:rPr>
        <w:t>š</w:t>
      </w:r>
      <w:r w:rsidR="00974E4A" w:rsidRPr="00974E4A">
        <w:rPr>
          <w:rFonts w:ascii="Times New Roman" w:hAnsi="Times New Roman" w:cs="Times New Roman"/>
        </w:rPr>
        <w:t>trukcia priestorov pre KC</w:t>
      </w:r>
      <w:r w:rsidRPr="00723CB0">
        <w:rPr>
          <w:rFonts w:ascii="Times New Roman" w:hAnsi="Times New Roman" w:cs="Times New Roman"/>
        </w:rPr>
        <w:t>“ s</w:t>
      </w:r>
      <w:r w:rsidR="00186D52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7FF9540B" w14:textId="3873D45C" w:rsidR="004B5046" w:rsidRPr="00E522C9" w:rsidRDefault="00974E4A" w:rsidP="00974E4A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74E4A">
        <w:rPr>
          <w:rFonts w:ascii="Times New Roman" w:hAnsi="Times New Roman" w:cs="Times New Roman"/>
        </w:rPr>
        <w:t>ozn</w:t>
      </w:r>
      <w:r w:rsidRPr="00974E4A">
        <w:rPr>
          <w:rFonts w:ascii="Times New Roman" w:hAnsi="Times New Roman" w:cs="Times New Roman" w:hint="cs"/>
        </w:rPr>
        <w:t>á</w:t>
      </w:r>
      <w:r w:rsidRPr="00974E4A">
        <w:rPr>
          <w:rFonts w:ascii="Times New Roman" w:hAnsi="Times New Roman" w:cs="Times New Roman"/>
        </w:rPr>
        <w:t>menie k stavebn</w:t>
      </w:r>
      <w:r w:rsidRPr="00974E4A">
        <w:rPr>
          <w:rFonts w:ascii="Times New Roman" w:hAnsi="Times New Roman" w:cs="Times New Roman" w:hint="cs"/>
        </w:rPr>
        <w:t>ý</w:t>
      </w:r>
      <w:r w:rsidRPr="00974E4A">
        <w:rPr>
          <w:rFonts w:ascii="Times New Roman" w:hAnsi="Times New Roman" w:cs="Times New Roman"/>
        </w:rPr>
        <w:t xml:space="preserve">m </w:t>
      </w:r>
      <w:r w:rsidRPr="00974E4A">
        <w:rPr>
          <w:rFonts w:ascii="Times New Roman" w:hAnsi="Times New Roman" w:cs="Times New Roman" w:hint="cs"/>
        </w:rPr>
        <w:t>ú</w:t>
      </w:r>
      <w:r w:rsidRPr="00974E4A">
        <w:rPr>
          <w:rFonts w:ascii="Times New Roman" w:hAnsi="Times New Roman" w:cs="Times New Roman"/>
        </w:rPr>
        <w:t>prav</w:t>
      </w:r>
      <w:r w:rsidRPr="00974E4A">
        <w:rPr>
          <w:rFonts w:ascii="Times New Roman" w:hAnsi="Times New Roman" w:cs="Times New Roman" w:hint="cs"/>
        </w:rPr>
        <w:t>á</w:t>
      </w:r>
      <w:r w:rsidRPr="00974E4A">
        <w:rPr>
          <w:rFonts w:ascii="Times New Roman" w:hAnsi="Times New Roman" w:cs="Times New Roman"/>
        </w:rPr>
        <w:t>m oddelen</w:t>
      </w:r>
      <w:r w:rsidRPr="00974E4A">
        <w:rPr>
          <w:rFonts w:ascii="Times New Roman" w:hAnsi="Times New Roman" w:cs="Times New Roman" w:hint="cs"/>
        </w:rPr>
        <w:t>í</w:t>
      </w:r>
      <w:r w:rsidRPr="00974E4A">
        <w:rPr>
          <w:rFonts w:ascii="Times New Roman" w:hAnsi="Times New Roman" w:cs="Times New Roman"/>
        </w:rPr>
        <w:t>m stavebn</w:t>
      </w:r>
      <w:r w:rsidRPr="00974E4A">
        <w:rPr>
          <w:rFonts w:ascii="Times New Roman" w:hAnsi="Times New Roman" w:cs="Times New Roman" w:hint="cs"/>
        </w:rPr>
        <w:t>é</w:t>
      </w:r>
      <w:r w:rsidRPr="00974E4A">
        <w:rPr>
          <w:rFonts w:ascii="Times New Roman" w:hAnsi="Times New Roman" w:cs="Times New Roman"/>
        </w:rPr>
        <w:t>ho poriadku a odborn</w:t>
      </w:r>
      <w:r w:rsidRPr="00974E4A">
        <w:rPr>
          <w:rFonts w:ascii="Times New Roman" w:hAnsi="Times New Roman" w:cs="Times New Roman" w:hint="cs"/>
        </w:rPr>
        <w:t>ý</w:t>
      </w:r>
      <w:r w:rsidRPr="00974E4A">
        <w:rPr>
          <w:rFonts w:ascii="Times New Roman" w:hAnsi="Times New Roman" w:cs="Times New Roman"/>
        </w:rPr>
        <w:t xml:space="preserve">ch </w:t>
      </w:r>
      <w:r w:rsidRPr="00974E4A">
        <w:rPr>
          <w:rFonts w:ascii="Times New Roman" w:hAnsi="Times New Roman" w:cs="Times New Roman" w:hint="cs"/>
        </w:rPr>
        <w:t>č</w:t>
      </w:r>
      <w:r w:rsidRPr="00974E4A">
        <w:rPr>
          <w:rFonts w:ascii="Times New Roman" w:hAnsi="Times New Roman" w:cs="Times New Roman"/>
        </w:rPr>
        <w:t>innost</w:t>
      </w:r>
      <w:r w:rsidRPr="00974E4A">
        <w:rPr>
          <w:rFonts w:ascii="Times New Roman" w:hAnsi="Times New Roman" w:cs="Times New Roman" w:hint="cs"/>
        </w:rPr>
        <w:t>í</w:t>
      </w:r>
      <w:r w:rsidRPr="00974E4A">
        <w:rPr>
          <w:rFonts w:ascii="Times New Roman" w:hAnsi="Times New Roman" w:cs="Times New Roman"/>
        </w:rPr>
        <w:t xml:space="preserve"> MV SR </w:t>
      </w:r>
      <w:r w:rsidRPr="00974E4A">
        <w:rPr>
          <w:rFonts w:ascii="Times New Roman" w:hAnsi="Times New Roman" w:cs="Times New Roman" w:hint="cs"/>
        </w:rPr>
        <w:t>č</w:t>
      </w:r>
      <w:r w:rsidRPr="00974E4A">
        <w:rPr>
          <w:rFonts w:ascii="Times New Roman" w:hAnsi="Times New Roman" w:cs="Times New Roman"/>
        </w:rPr>
        <w:t>.: SE-OSPO</w:t>
      </w:r>
      <w:r w:rsidRPr="00974E4A">
        <w:rPr>
          <w:rFonts w:ascii="Times New Roman" w:hAnsi="Times New Roman" w:cs="Times New Roman" w:hint="cs"/>
        </w:rPr>
        <w:t>Č</w:t>
      </w:r>
      <w:r w:rsidRPr="00974E4A">
        <w:rPr>
          <w:rFonts w:ascii="Times New Roman" w:hAnsi="Times New Roman" w:cs="Times New Roman"/>
        </w:rPr>
        <w:t xml:space="preserve"> 170-2/2025 zo d</w:t>
      </w:r>
      <w:r w:rsidRPr="00974E4A">
        <w:rPr>
          <w:rFonts w:ascii="Times New Roman" w:hAnsi="Times New Roman" w:cs="Times New Roman" w:hint="cs"/>
        </w:rPr>
        <w:t>ň</w:t>
      </w:r>
      <w:r w:rsidRPr="00974E4A">
        <w:rPr>
          <w:rFonts w:ascii="Times New Roman" w:hAnsi="Times New Roman" w:cs="Times New Roman"/>
        </w:rPr>
        <w:t>a 16.04.2025</w:t>
      </w:r>
      <w:r w:rsidR="007920FF">
        <w:t>.</w:t>
      </w:r>
    </w:p>
    <w:p w14:paraId="3F56AC5C" w14:textId="746E8BB8" w:rsidR="00AA1139" w:rsidRPr="00723CB0" w:rsidRDefault="00AA1139" w:rsidP="0056739C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Zmluvy o dielo na realizáciu diela č. </w:t>
      </w:r>
      <w:bookmarkStart w:id="0" w:name="_GoBack"/>
      <w:bookmarkEnd w:id="0"/>
      <w:r w:rsidR="0056739C" w:rsidRPr="0056739C">
        <w:rPr>
          <w:rFonts w:ascii="Times New Roman" w:hAnsi="Times New Roman" w:cs="Times New Roman"/>
        </w:rPr>
        <w:t>SVO-RVO1-2026/000016-014</w:t>
      </w:r>
      <w:r w:rsidR="00186D52" w:rsidRPr="00186D52">
        <w:rPr>
          <w:rFonts w:ascii="Times New Roman" w:hAnsi="Times New Roman" w:cs="Times New Roman"/>
        </w:rPr>
        <w:t xml:space="preserve"> zo d</w:t>
      </w:r>
      <w:r w:rsidR="00186D52" w:rsidRPr="00186D52">
        <w:rPr>
          <w:rFonts w:ascii="Times New Roman" w:hAnsi="Times New Roman" w:cs="Times New Roman" w:hint="cs"/>
        </w:rPr>
        <w:t>ň</w:t>
      </w:r>
      <w:r w:rsidR="00186D52" w:rsidRPr="00186D52">
        <w:rPr>
          <w:rFonts w:ascii="Times New Roman" w:hAnsi="Times New Roman" w:cs="Times New Roman"/>
        </w:rPr>
        <w:t xml:space="preserve">a 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medzi. MV SR (</w:t>
      </w:r>
      <w:r w:rsidR="00186D52" w:rsidRPr="00186D52">
        <w:rPr>
          <w:rFonts w:ascii="Times New Roman" w:hAnsi="Times New Roman" w:cs="Times New Roman" w:hint="cs"/>
        </w:rPr>
        <w:t>ď</w:t>
      </w:r>
      <w:r w:rsidR="00186D52" w:rsidRPr="00186D52">
        <w:rPr>
          <w:rFonts w:ascii="Times New Roman" w:hAnsi="Times New Roman" w:cs="Times New Roman"/>
        </w:rPr>
        <w:t xml:space="preserve">alej len </w:t>
      </w:r>
      <w:r w:rsidR="00186D52" w:rsidRPr="00186D52">
        <w:rPr>
          <w:rFonts w:ascii="Times New Roman" w:hAnsi="Times New Roman" w:cs="Times New Roman" w:hint="cs"/>
        </w:rPr>
        <w:t>“</w:t>
      </w:r>
      <w:r w:rsidR="00186D52" w:rsidRPr="00186D52">
        <w:rPr>
          <w:rFonts w:ascii="Times New Roman" w:hAnsi="Times New Roman" w:cs="Times New Roman"/>
        </w:rPr>
        <w:t>objedn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vate</w:t>
      </w:r>
      <w:r w:rsidR="00186D52" w:rsidRPr="00186D52">
        <w:rPr>
          <w:rFonts w:ascii="Times New Roman" w:hAnsi="Times New Roman" w:cs="Times New Roman" w:hint="cs"/>
        </w:rPr>
        <w:t>ľ“</w:t>
      </w:r>
      <w:r w:rsidR="00186D52" w:rsidRPr="00186D52">
        <w:rPr>
          <w:rFonts w:ascii="Times New Roman" w:hAnsi="Times New Roman" w:cs="Times New Roman"/>
        </w:rPr>
        <w:t xml:space="preserve">) a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. </w:t>
      </w:r>
      <w:r w:rsidRPr="00723CB0">
        <w:rPr>
          <w:rFonts w:ascii="Times New Roman" w:hAnsi="Times New Roman" w:cs="Times New Roman"/>
        </w:rPr>
        <w:t xml:space="preserve"> (ďalej len “zhotoviteľ”) (ďalej len „ZoD“) vrátane jej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je oprávnený zápisom v stavebnom denníku žiadať od zhotoviteľa výmenu personálu, ktorý bude považovať za nedostatočne odborne spôsobilý na výkon </w:t>
      </w:r>
      <w:r w:rsidRPr="00723CB0">
        <w:rPr>
          <w:rFonts w:ascii="Times New Roman" w:hAnsi="Times New Roman" w:cs="Times New Roman"/>
        </w:rPr>
        <w:lastRenderedPageBreak/>
        <w:t>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29FA7125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[●] EUR</w:t>
      </w:r>
    </w:p>
    <w:p w14:paraId="07D364DF" w14:textId="77777777" w:rsidR="007920FF" w:rsidRPr="00186D52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30B9203" w14:textId="3E02125C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(slovom:  [●]  EUR)</w:t>
      </w:r>
    </w:p>
    <w:p w14:paraId="70873A85" w14:textId="77777777" w:rsidR="007920FF" w:rsidRPr="00723CB0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6B9BFEB" w14:textId="77777777" w:rsidR="007920FF" w:rsidRDefault="007920FF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E6B289" w14:textId="4972732F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lastRenderedPageBreak/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5050EB79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="007920FF" w:rsidRPr="007920FF">
        <w:rPr>
          <w:rFonts w:ascii="Times New Roman" w:hAnsi="Times New Roman" w:cs="Times New Roman" w:hint="cs"/>
          <w:b/>
          <w:bCs/>
        </w:rPr>
        <w:t>č</w:t>
      </w:r>
      <w:r w:rsidR="007920FF" w:rsidRPr="007920FF">
        <w:rPr>
          <w:rFonts w:ascii="Times New Roman" w:hAnsi="Times New Roman" w:cs="Times New Roman"/>
          <w:b/>
          <w:bCs/>
        </w:rPr>
        <w:t>. SE-OI2-2026/010629-005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86D5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9F8B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86D5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3C601DB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  <w:vAlign w:val="center"/>
          </w:tcPr>
          <w:p w14:paraId="4E60B090" w14:textId="0F32F197" w:rsidR="00153CB0" w:rsidRPr="00153CB0" w:rsidRDefault="00153CB0" w:rsidP="0018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Hodinová sadzba</w:t>
            </w:r>
          </w:p>
          <w:p w14:paraId="6E62539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  <w:vAlign w:val="center"/>
          </w:tcPr>
          <w:p w14:paraId="4D2D821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5E3F1FC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D38B" w14:textId="77777777" w:rsidR="008D045E" w:rsidRDefault="008D045E" w:rsidP="001B241E">
      <w:pPr>
        <w:spacing w:after="0" w:line="240" w:lineRule="auto"/>
      </w:pPr>
      <w:r>
        <w:separator/>
      </w:r>
    </w:p>
  </w:endnote>
  <w:endnote w:type="continuationSeparator" w:id="0">
    <w:p w14:paraId="220297E0" w14:textId="77777777" w:rsidR="008D045E" w:rsidRDefault="008D045E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3356CFD6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739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2A4E" w14:textId="77777777" w:rsidR="008D045E" w:rsidRDefault="008D045E" w:rsidP="001B241E">
      <w:pPr>
        <w:spacing w:after="0" w:line="240" w:lineRule="auto"/>
      </w:pPr>
      <w:r>
        <w:separator/>
      </w:r>
    </w:p>
  </w:footnote>
  <w:footnote w:type="continuationSeparator" w:id="0">
    <w:p w14:paraId="3DA9DFDD" w14:textId="77777777" w:rsidR="008D045E" w:rsidRDefault="008D045E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4B39059D" w:rsidR="001B241E" w:rsidRPr="001B241E" w:rsidRDefault="00695949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>Príloha č. 2</w:t>
    </w:r>
    <w:r w:rsidR="001B241E" w:rsidRPr="001B241E">
      <w:rPr>
        <w:rFonts w:ascii="Times New Roman" w:hAnsi="Times New Roman" w:cs="Times New Roman"/>
        <w:bCs/>
        <w:sz w:val="22"/>
        <w:szCs w:val="22"/>
      </w:rPr>
      <w:t xml:space="preserve">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90B4E224"/>
    <w:lvl w:ilvl="0" w:tplc="89CCEA0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66D15"/>
    <w:rsid w:val="00186D52"/>
    <w:rsid w:val="00196140"/>
    <w:rsid w:val="001B241E"/>
    <w:rsid w:val="00244AB5"/>
    <w:rsid w:val="002A2274"/>
    <w:rsid w:val="003357FB"/>
    <w:rsid w:val="003B4CD5"/>
    <w:rsid w:val="003C171A"/>
    <w:rsid w:val="004B5046"/>
    <w:rsid w:val="005366EF"/>
    <w:rsid w:val="0056739C"/>
    <w:rsid w:val="00572FC0"/>
    <w:rsid w:val="00695949"/>
    <w:rsid w:val="006C1019"/>
    <w:rsid w:val="006C4534"/>
    <w:rsid w:val="00723717"/>
    <w:rsid w:val="00723CB0"/>
    <w:rsid w:val="00753301"/>
    <w:rsid w:val="007920FF"/>
    <w:rsid w:val="00810E09"/>
    <w:rsid w:val="00843A55"/>
    <w:rsid w:val="008D045E"/>
    <w:rsid w:val="00925A05"/>
    <w:rsid w:val="009317BB"/>
    <w:rsid w:val="00974E4A"/>
    <w:rsid w:val="00AA1139"/>
    <w:rsid w:val="00B43AAD"/>
    <w:rsid w:val="00C45271"/>
    <w:rsid w:val="00E522C9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6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10</cp:revision>
  <cp:lastPrinted>2025-02-20T12:40:00Z</cp:lastPrinted>
  <dcterms:created xsi:type="dcterms:W3CDTF">2025-02-20T08:57:00Z</dcterms:created>
  <dcterms:modified xsi:type="dcterms:W3CDTF">2026-03-31T09:02:00Z</dcterms:modified>
</cp:coreProperties>
</file>