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7E77" w14:textId="77777777" w:rsidR="00421104" w:rsidRPr="004A3358" w:rsidRDefault="00421104" w:rsidP="00421104">
      <w:pPr>
        <w:spacing w:before="60" w:after="120"/>
        <w:ind w:right="40"/>
        <w:jc w:val="center"/>
        <w:rPr>
          <w:b/>
          <w:bCs/>
          <w:sz w:val="22"/>
          <w:szCs w:val="22"/>
        </w:rPr>
      </w:pPr>
      <w:r w:rsidRPr="004A3358">
        <w:rPr>
          <w:b/>
          <w:bCs/>
          <w:sz w:val="22"/>
          <w:szCs w:val="22"/>
        </w:rPr>
        <w:t xml:space="preserve">OBOWIĄZEK INFORMACYJNY </w:t>
      </w:r>
    </w:p>
    <w:p w14:paraId="1CEC778C" w14:textId="77777777" w:rsidR="00421104" w:rsidRPr="004A3358" w:rsidRDefault="00421104" w:rsidP="00421104">
      <w:pPr>
        <w:ind w:right="40"/>
        <w:jc w:val="center"/>
        <w:rPr>
          <w:i/>
          <w:iCs/>
          <w:sz w:val="22"/>
          <w:szCs w:val="22"/>
        </w:rPr>
      </w:pPr>
      <w:r w:rsidRPr="004A3358">
        <w:rPr>
          <w:i/>
          <w:iCs/>
          <w:sz w:val="22"/>
          <w:szCs w:val="22"/>
        </w:rPr>
        <w:t>(postępowanie o udzielenie zamówienia publicznego,</w:t>
      </w:r>
    </w:p>
    <w:p w14:paraId="36B2F7F2" w14:textId="77777777" w:rsidR="00421104" w:rsidRPr="004A3358" w:rsidRDefault="00421104" w:rsidP="00421104">
      <w:pPr>
        <w:ind w:right="40"/>
        <w:jc w:val="center"/>
        <w:rPr>
          <w:i/>
          <w:iCs/>
          <w:sz w:val="22"/>
          <w:szCs w:val="22"/>
        </w:rPr>
      </w:pPr>
      <w:r w:rsidRPr="004A3358">
        <w:rPr>
          <w:i/>
          <w:iCs/>
          <w:sz w:val="22"/>
          <w:szCs w:val="22"/>
        </w:rPr>
        <w:t xml:space="preserve">którego wartość bez podatku od towarów i usług jest </w:t>
      </w:r>
      <w:r w:rsidRPr="004A3358">
        <w:rPr>
          <w:b/>
          <w:bCs/>
          <w:i/>
          <w:iCs/>
          <w:sz w:val="22"/>
          <w:szCs w:val="22"/>
        </w:rPr>
        <w:t>równa lub przekracza kwotę</w:t>
      </w:r>
      <w:r w:rsidRPr="004A3358">
        <w:rPr>
          <w:i/>
          <w:iCs/>
          <w:sz w:val="22"/>
          <w:szCs w:val="22"/>
        </w:rPr>
        <w:t xml:space="preserve"> 130.000,00 zł)</w:t>
      </w:r>
    </w:p>
    <w:p w14:paraId="0ADEE0B3" w14:textId="77777777" w:rsidR="00421104" w:rsidRPr="004A3358" w:rsidRDefault="00421104" w:rsidP="00421104">
      <w:pPr>
        <w:spacing w:before="60" w:after="60"/>
        <w:ind w:right="40"/>
        <w:rPr>
          <w:b/>
          <w:bCs/>
          <w:sz w:val="22"/>
          <w:szCs w:val="22"/>
        </w:rPr>
      </w:pPr>
    </w:p>
    <w:p w14:paraId="235EE814" w14:textId="77777777" w:rsidR="00421104" w:rsidRPr="004A3358" w:rsidRDefault="00421104" w:rsidP="00421104">
      <w:pPr>
        <w:jc w:val="both"/>
        <w:rPr>
          <w:sz w:val="22"/>
          <w:szCs w:val="22"/>
        </w:rPr>
      </w:pPr>
      <w:r w:rsidRPr="004A3358">
        <w:rPr>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0AFA11D3" w14:textId="68094B19" w:rsidR="00421104" w:rsidRPr="004A3358" w:rsidRDefault="00421104" w:rsidP="00421104">
      <w:pPr>
        <w:numPr>
          <w:ilvl w:val="1"/>
          <w:numId w:val="2"/>
        </w:numPr>
        <w:pBdr>
          <w:top w:val="nil"/>
          <w:left w:val="nil"/>
          <w:bottom w:val="nil"/>
          <w:right w:val="nil"/>
          <w:between w:val="nil"/>
        </w:pBdr>
        <w:spacing w:before="120" w:after="120"/>
        <w:ind w:left="357" w:hanging="357"/>
        <w:jc w:val="both"/>
        <w:rPr>
          <w:b/>
          <w:bCs/>
          <w:color w:val="000000"/>
          <w:sz w:val="22"/>
          <w:szCs w:val="22"/>
        </w:rPr>
      </w:pPr>
      <w:r w:rsidRPr="004A3358">
        <w:rPr>
          <w:color w:val="000000"/>
          <w:sz w:val="22"/>
          <w:szCs w:val="22"/>
        </w:rPr>
        <w:t>Administratorem Pa</w:t>
      </w:r>
      <w:r>
        <w:rPr>
          <w:color w:val="000000"/>
          <w:sz w:val="22"/>
          <w:szCs w:val="22"/>
        </w:rPr>
        <w:t xml:space="preserve">ni/Pana </w:t>
      </w:r>
      <w:r w:rsidRPr="004A3358">
        <w:rPr>
          <w:color w:val="000000"/>
          <w:sz w:val="22"/>
          <w:szCs w:val="22"/>
        </w:rPr>
        <w:t xml:space="preserve">danych jest </w:t>
      </w:r>
      <w:r w:rsidRPr="00F50608">
        <w:rPr>
          <w:color w:val="222222"/>
          <w:sz w:val="22"/>
          <w:szCs w:val="22"/>
          <w:shd w:val="clear" w:color="auto" w:fill="FFFFFF"/>
        </w:rPr>
        <w:t xml:space="preserve">Miasto i Gmina Górzno reprezentowana przez </w:t>
      </w:r>
      <w:r w:rsidR="00E86A0E" w:rsidRPr="00F50608">
        <w:rPr>
          <w:color w:val="222222"/>
          <w:sz w:val="22"/>
          <w:szCs w:val="22"/>
          <w:shd w:val="clear" w:color="auto" w:fill="FFFFFF"/>
        </w:rPr>
        <w:t>Burmistrza z</w:t>
      </w:r>
      <w:r w:rsidRPr="00F50608">
        <w:rPr>
          <w:color w:val="222222"/>
          <w:sz w:val="22"/>
          <w:szCs w:val="22"/>
          <w:shd w:val="clear" w:color="auto" w:fill="FFFFFF"/>
        </w:rPr>
        <w:t xml:space="preserve"> siedzibą w Górznie, ul. Rynek 1, 87-320 Górzno</w:t>
      </w:r>
      <w:r>
        <w:rPr>
          <w:color w:val="222222"/>
          <w:sz w:val="22"/>
          <w:szCs w:val="22"/>
          <w:shd w:val="clear" w:color="auto" w:fill="FFFFFF"/>
        </w:rPr>
        <w:t xml:space="preserve">. </w:t>
      </w:r>
    </w:p>
    <w:p w14:paraId="368A74DD"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 xml:space="preserve">Administrator wyznaczył Inspektora Ochrony Danych, z którym może się Pani/Pan kontaktować we wszystkich sprawach dotyczących przetwarzania danych osobowych za pośrednictwem adresu e-mail: </w:t>
      </w:r>
      <w:hyperlink r:id="rId5" w:history="1">
        <w:r w:rsidRPr="004A3358">
          <w:rPr>
            <w:rStyle w:val="Hipercze"/>
            <w:sz w:val="22"/>
            <w:szCs w:val="22"/>
          </w:rPr>
          <w:t>iod@gminagorzono.pl</w:t>
        </w:r>
      </w:hyperlink>
      <w:r w:rsidRPr="004A3358">
        <w:rPr>
          <w:color w:val="000000"/>
          <w:sz w:val="22"/>
          <w:szCs w:val="22"/>
        </w:rPr>
        <w:t xml:space="preserve">  lub pisemnie na adres Administratora. </w:t>
      </w:r>
    </w:p>
    <w:p w14:paraId="78B21860"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Dane osobowe będą przetwarzane w celu związanym z postępowaniem o udzielenie zamówienia publicznego.</w:t>
      </w:r>
    </w:p>
    <w:p w14:paraId="635E0FC3" w14:textId="1C576CA5"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 xml:space="preserve">Podstawą prawną przetwarzania danych osobowych jest art. 6 ust. 1 lit. c RODO </w:t>
      </w:r>
      <w:r w:rsidR="00E86A0E" w:rsidRPr="004A3358">
        <w:rPr>
          <w:color w:val="000000"/>
          <w:sz w:val="22"/>
          <w:szCs w:val="22"/>
        </w:rPr>
        <w:t>(przetwarzanie</w:t>
      </w:r>
      <w:r w:rsidRPr="004A3358">
        <w:rPr>
          <w:color w:val="000000"/>
          <w:sz w:val="22"/>
          <w:szCs w:val="22"/>
        </w:rPr>
        <w:t xml:space="preserve"> jest niezbędne do wypełnienia obowiązku prawnego ciążącego na Administratorze) w związku z przepisami ustawy z dnia 11 września 2019 r. - Prawo zamówień publicznych zwanej dalej PZP. </w:t>
      </w:r>
    </w:p>
    <w:p w14:paraId="2A8F9378"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Dane osobowe będą przetwarzane, zgodnie z art. 78 ust. 1 i 4 PZP, przez okres 4 lat od dnia zakończenia postępowania o udzielenie zamówienia, a jeżeli czas trwania umowy przekracza 4 lata, okres przechowywania obejmuje cały czas obowiązywania umowy.</w:t>
      </w:r>
    </w:p>
    <w:p w14:paraId="61191E16"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W związku z przetwarzaniem danych osobowych nie podlega Pani/Pan decyzjom, które się opierają wyłącznie na zautomatyzowanym przetwarzaniu, w tym profilowaniu, o czym stanowi art. 22 RODO.</w:t>
      </w:r>
    </w:p>
    <w:p w14:paraId="1BA41460" w14:textId="77777777" w:rsidR="00421104" w:rsidRPr="004A3358" w:rsidRDefault="00421104" w:rsidP="00421104">
      <w:pPr>
        <w:numPr>
          <w:ilvl w:val="1"/>
          <w:numId w:val="2"/>
        </w:numPr>
        <w:pBdr>
          <w:top w:val="nil"/>
          <w:left w:val="nil"/>
          <w:bottom w:val="nil"/>
          <w:right w:val="nil"/>
          <w:between w:val="nil"/>
        </w:pBdr>
        <w:ind w:left="357" w:hanging="357"/>
        <w:jc w:val="both"/>
        <w:rPr>
          <w:color w:val="000000"/>
          <w:sz w:val="22"/>
          <w:szCs w:val="22"/>
        </w:rPr>
      </w:pPr>
      <w:r w:rsidRPr="004A3358">
        <w:rPr>
          <w:color w:val="000000"/>
          <w:sz w:val="22"/>
          <w:szCs w:val="22"/>
        </w:rPr>
        <w:t xml:space="preserve">Osoba, której dane dotyczą ma prawo do: </w:t>
      </w:r>
    </w:p>
    <w:p w14:paraId="00AE6D50" w14:textId="77777777" w:rsidR="00421104" w:rsidRPr="004A3358" w:rsidRDefault="00421104" w:rsidP="00421104">
      <w:pPr>
        <w:numPr>
          <w:ilvl w:val="0"/>
          <w:numId w:val="3"/>
        </w:numPr>
        <w:pBdr>
          <w:top w:val="nil"/>
          <w:left w:val="nil"/>
          <w:bottom w:val="nil"/>
          <w:right w:val="nil"/>
          <w:between w:val="nil"/>
        </w:pBdr>
        <w:ind w:left="754" w:hanging="357"/>
        <w:jc w:val="both"/>
        <w:rPr>
          <w:color w:val="000000"/>
          <w:sz w:val="22"/>
          <w:szCs w:val="22"/>
        </w:rPr>
      </w:pPr>
      <w:r w:rsidRPr="004A3358">
        <w:rPr>
          <w:color w:val="000000"/>
          <w:sz w:val="22"/>
          <w:szCs w:val="22"/>
        </w:rPr>
        <w:t>prawo dostępu do swoich danych oraz otrzymania ich kopii;</w:t>
      </w:r>
    </w:p>
    <w:p w14:paraId="3EA43FA6" w14:textId="77777777" w:rsidR="00421104" w:rsidRPr="004A3358" w:rsidRDefault="00421104" w:rsidP="00421104">
      <w:pPr>
        <w:numPr>
          <w:ilvl w:val="0"/>
          <w:numId w:val="3"/>
        </w:numPr>
        <w:pBdr>
          <w:top w:val="nil"/>
          <w:left w:val="nil"/>
          <w:bottom w:val="nil"/>
          <w:right w:val="nil"/>
          <w:between w:val="nil"/>
        </w:pBdr>
        <w:ind w:left="754" w:hanging="357"/>
        <w:jc w:val="both"/>
        <w:rPr>
          <w:color w:val="000000"/>
          <w:sz w:val="22"/>
          <w:szCs w:val="22"/>
        </w:rPr>
      </w:pPr>
      <w:r w:rsidRPr="004A3358">
        <w:rPr>
          <w:color w:val="000000"/>
          <w:sz w:val="22"/>
          <w:szCs w:val="22"/>
        </w:rPr>
        <w:t>prawo do sprostowania (poprawiania) swoich danych osobowych;</w:t>
      </w:r>
    </w:p>
    <w:p w14:paraId="3E2A95E1" w14:textId="77777777" w:rsidR="00421104" w:rsidRPr="004A3358" w:rsidRDefault="00421104" w:rsidP="00421104">
      <w:pPr>
        <w:numPr>
          <w:ilvl w:val="0"/>
          <w:numId w:val="3"/>
        </w:numPr>
        <w:pBdr>
          <w:top w:val="nil"/>
          <w:left w:val="nil"/>
          <w:bottom w:val="nil"/>
          <w:right w:val="nil"/>
          <w:between w:val="nil"/>
        </w:pBdr>
        <w:ind w:left="754" w:hanging="357"/>
        <w:jc w:val="both"/>
        <w:rPr>
          <w:color w:val="000000"/>
          <w:sz w:val="22"/>
          <w:szCs w:val="22"/>
        </w:rPr>
      </w:pPr>
      <w:r w:rsidRPr="004A3358">
        <w:rPr>
          <w:color w:val="000000"/>
          <w:sz w:val="22"/>
          <w:szCs w:val="22"/>
        </w:rPr>
        <w:t>prawo do ograniczenia przetwarzania danych osobowych;</w:t>
      </w:r>
    </w:p>
    <w:p w14:paraId="02C49E20" w14:textId="5C60974E" w:rsidR="00421104" w:rsidRPr="004A3358" w:rsidRDefault="00421104" w:rsidP="00421104">
      <w:pPr>
        <w:numPr>
          <w:ilvl w:val="0"/>
          <w:numId w:val="3"/>
        </w:numPr>
        <w:pBdr>
          <w:top w:val="nil"/>
          <w:left w:val="nil"/>
          <w:bottom w:val="nil"/>
          <w:right w:val="nil"/>
          <w:between w:val="nil"/>
        </w:pBdr>
        <w:ind w:left="754" w:hanging="357"/>
        <w:jc w:val="both"/>
        <w:rPr>
          <w:color w:val="000000"/>
          <w:sz w:val="22"/>
          <w:szCs w:val="22"/>
        </w:rPr>
      </w:pPr>
      <w:r w:rsidRPr="004A3358">
        <w:rPr>
          <w:color w:val="000000"/>
          <w:sz w:val="22"/>
          <w:szCs w:val="22"/>
        </w:rPr>
        <w:t xml:space="preserve">prawo wniesienia skargi do Prezesa Urzędu Ochrony Danych Osobowych </w:t>
      </w:r>
      <w:r w:rsidR="00E86A0E" w:rsidRPr="004A3358">
        <w:rPr>
          <w:color w:val="000000"/>
          <w:sz w:val="22"/>
          <w:szCs w:val="22"/>
        </w:rPr>
        <w:t>w przypadku</w:t>
      </w:r>
      <w:r w:rsidRPr="004A3358">
        <w:rPr>
          <w:color w:val="000000"/>
          <w:sz w:val="22"/>
          <w:szCs w:val="22"/>
        </w:rPr>
        <w:t xml:space="preserve"> uznania, że przetwarzanie danych odbywa się z naruszeniem przepisów ogólnego rozporządzenia o ochronie danych osobowych (RODO);</w:t>
      </w:r>
    </w:p>
    <w:p w14:paraId="4BF2ECBE" w14:textId="77777777" w:rsidR="00421104" w:rsidRPr="004A3358" w:rsidRDefault="00421104" w:rsidP="00421104">
      <w:pPr>
        <w:numPr>
          <w:ilvl w:val="1"/>
          <w:numId w:val="2"/>
        </w:numPr>
        <w:pBdr>
          <w:top w:val="nil"/>
          <w:left w:val="nil"/>
          <w:bottom w:val="nil"/>
          <w:right w:val="nil"/>
          <w:between w:val="nil"/>
        </w:pBdr>
        <w:spacing w:before="120"/>
        <w:ind w:left="357" w:hanging="357"/>
        <w:jc w:val="both"/>
        <w:rPr>
          <w:color w:val="000000"/>
          <w:sz w:val="22"/>
          <w:szCs w:val="22"/>
        </w:rPr>
      </w:pPr>
      <w:r w:rsidRPr="004A3358">
        <w:rPr>
          <w:color w:val="000000"/>
          <w:sz w:val="22"/>
          <w:szCs w:val="22"/>
        </w:rPr>
        <w:t>Osobie, której dane dotyczą nie przysługuje:</w:t>
      </w:r>
    </w:p>
    <w:p w14:paraId="41711AEE" w14:textId="77777777" w:rsidR="00421104" w:rsidRPr="004A3358" w:rsidRDefault="00421104" w:rsidP="00421104">
      <w:pPr>
        <w:numPr>
          <w:ilvl w:val="0"/>
          <w:numId w:val="1"/>
        </w:numPr>
        <w:pBdr>
          <w:top w:val="nil"/>
          <w:left w:val="nil"/>
          <w:bottom w:val="nil"/>
          <w:right w:val="nil"/>
          <w:between w:val="nil"/>
        </w:pBdr>
        <w:ind w:left="924" w:hanging="357"/>
        <w:jc w:val="both"/>
        <w:rPr>
          <w:color w:val="000000"/>
          <w:sz w:val="22"/>
          <w:szCs w:val="22"/>
        </w:rPr>
      </w:pPr>
      <w:r w:rsidRPr="004A3358">
        <w:rPr>
          <w:color w:val="000000"/>
          <w:sz w:val="22"/>
          <w:szCs w:val="22"/>
        </w:rPr>
        <w:t>prawo do usunięcia danych osobowych w związku z art. 17 ust. 3 lit. b, d lub e RODO;</w:t>
      </w:r>
    </w:p>
    <w:p w14:paraId="2B22E824" w14:textId="77777777" w:rsidR="00421104" w:rsidRPr="004A3358" w:rsidRDefault="00421104" w:rsidP="00421104">
      <w:pPr>
        <w:numPr>
          <w:ilvl w:val="0"/>
          <w:numId w:val="1"/>
        </w:numPr>
        <w:pBdr>
          <w:top w:val="nil"/>
          <w:left w:val="nil"/>
          <w:bottom w:val="nil"/>
          <w:right w:val="nil"/>
          <w:between w:val="nil"/>
        </w:pBdr>
        <w:ind w:left="924" w:hanging="357"/>
        <w:jc w:val="both"/>
        <w:rPr>
          <w:color w:val="000000"/>
          <w:sz w:val="22"/>
          <w:szCs w:val="22"/>
        </w:rPr>
      </w:pPr>
      <w:r w:rsidRPr="004A3358">
        <w:rPr>
          <w:color w:val="000000"/>
          <w:sz w:val="22"/>
          <w:szCs w:val="22"/>
        </w:rPr>
        <w:t>prawo do przenoszenia danych osobowych, o którym mowa w art. 20 RODO;</w:t>
      </w:r>
    </w:p>
    <w:p w14:paraId="75307216" w14:textId="77777777" w:rsidR="00421104" w:rsidRPr="004A3358" w:rsidRDefault="00421104" w:rsidP="00421104">
      <w:pPr>
        <w:numPr>
          <w:ilvl w:val="0"/>
          <w:numId w:val="1"/>
        </w:numPr>
        <w:pBdr>
          <w:top w:val="nil"/>
          <w:left w:val="nil"/>
          <w:bottom w:val="nil"/>
          <w:right w:val="nil"/>
          <w:between w:val="nil"/>
        </w:pBdr>
        <w:spacing w:after="120"/>
        <w:ind w:left="924" w:hanging="357"/>
        <w:jc w:val="both"/>
        <w:rPr>
          <w:color w:val="000000"/>
          <w:sz w:val="22"/>
          <w:szCs w:val="22"/>
        </w:rPr>
      </w:pPr>
      <w:r w:rsidRPr="004A3358">
        <w:rPr>
          <w:color w:val="000000"/>
          <w:sz w:val="22"/>
          <w:szCs w:val="22"/>
        </w:rPr>
        <w:t xml:space="preserve">prawo do sprzeciwu wobec przetwarzania danych osobowych na podstawie art. 21 RODO, gdyż podstawą prawną przetwarzania danych osoby, której dane dotyczą jest art. 6 ust. 1 lit. c RODO. </w:t>
      </w:r>
    </w:p>
    <w:p w14:paraId="5E959AFE"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2C67FCC8"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2C595DD3"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 xml:space="preserve">Skorzystanie przez osobę, której dane dotyczą, z uprawnienia do sprostowania lub uzupełnienia, o którym mowa w art. 16 Rozporządzenia, nie może naruszać integralności </w:t>
      </w:r>
      <w:sdt>
        <w:sdtPr>
          <w:rPr>
            <w:sz w:val="22"/>
            <w:szCs w:val="22"/>
          </w:rPr>
          <w:tag w:val="goog_rdk_0"/>
          <w:id w:val="355664017"/>
        </w:sdtPr>
        <w:sdtContent/>
      </w:sdt>
      <w:r w:rsidRPr="004A3358">
        <w:rPr>
          <w:color w:val="000000"/>
          <w:sz w:val="22"/>
          <w:szCs w:val="22"/>
        </w:rPr>
        <w:t>protokołu oraz jego załączników</w:t>
      </w:r>
      <w:sdt>
        <w:sdtPr>
          <w:rPr>
            <w:sz w:val="22"/>
            <w:szCs w:val="22"/>
          </w:rPr>
          <w:tag w:val="goog_rdk_1"/>
          <w:id w:val="-1598178705"/>
        </w:sdtPr>
        <w:sdtContent/>
      </w:sdt>
      <w:r w:rsidRPr="004A3358">
        <w:rPr>
          <w:color w:val="000000"/>
          <w:sz w:val="22"/>
          <w:szCs w:val="22"/>
        </w:rPr>
        <w:t>.</w:t>
      </w:r>
    </w:p>
    <w:p w14:paraId="7B7120F8"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lastRenderedPageBreak/>
        <w:t>Wystąpienie z żądaniem, o którym mowa w art. 18 ust. 1 RODO, nie ogranicza przetwarzania danych osobowych do czasu zakończenia postępowania o udzielenie zamówienia publicznego.</w:t>
      </w:r>
    </w:p>
    <w:p w14:paraId="3E0AC893"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bookmarkStart w:id="0" w:name="_heading=h.gjdgxs" w:colFirst="0" w:colLast="0"/>
      <w:bookmarkEnd w:id="0"/>
      <w:r w:rsidRPr="004A3358">
        <w:rPr>
          <w:color w:val="000000"/>
          <w:sz w:val="22"/>
          <w:szCs w:val="22"/>
        </w:rPr>
        <w:t>W przypadku danych osobowych zamieszczonych przez Administratora w Biuletynie Zamówień Publicznych, prawa, o których mowa w art. 15 i art. 16 RODO, są wykonywane w drodze żądania skierowanego do Administratora.</w:t>
      </w:r>
    </w:p>
    <w:p w14:paraId="3EBD7A42" w14:textId="7995D7B2"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 xml:space="preserve">Od dnia zakończenia postępowania o udzielenie zamówienia, w </w:t>
      </w:r>
      <w:r w:rsidR="00E86A0E" w:rsidRPr="004A3358">
        <w:rPr>
          <w:color w:val="000000"/>
          <w:sz w:val="22"/>
          <w:szCs w:val="22"/>
        </w:rPr>
        <w:t>przypadku,</w:t>
      </w:r>
      <w:r w:rsidRPr="004A3358">
        <w:rPr>
          <w:color w:val="000000"/>
          <w:sz w:val="22"/>
          <w:szCs w:val="22"/>
        </w:rPr>
        <w:t xml:space="preserve">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0607FB10"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r w:rsidRPr="004A3358">
        <w:rPr>
          <w:color w:val="000000"/>
          <w:sz w:val="22"/>
          <w:szCs w:val="22"/>
        </w:rPr>
        <w:t xml:space="preserve">Obowiązek podania danych osobowych bezpośrednio Panią/Pana dotyczących jest wymogiem ustawowym określonym w przepisach PZP, związanym z udziałem w postępowaniu o udzielenie zamówienia publicznego. Konsekwencje niepodania określonych danych wynikają z PZP. </w:t>
      </w:r>
    </w:p>
    <w:p w14:paraId="7B375A6B" w14:textId="77777777" w:rsidR="00421104" w:rsidRPr="004A3358" w:rsidRDefault="00421104" w:rsidP="00421104">
      <w:pPr>
        <w:numPr>
          <w:ilvl w:val="1"/>
          <w:numId w:val="2"/>
        </w:numPr>
        <w:pBdr>
          <w:top w:val="nil"/>
          <w:left w:val="nil"/>
          <w:bottom w:val="nil"/>
          <w:right w:val="nil"/>
          <w:between w:val="nil"/>
        </w:pBdr>
        <w:spacing w:before="120" w:after="120"/>
        <w:ind w:left="357" w:hanging="357"/>
        <w:jc w:val="both"/>
        <w:rPr>
          <w:color w:val="000000"/>
          <w:sz w:val="22"/>
          <w:szCs w:val="22"/>
        </w:rPr>
      </w:pPr>
      <w:sdt>
        <w:sdtPr>
          <w:rPr>
            <w:sz w:val="22"/>
            <w:szCs w:val="22"/>
          </w:rPr>
          <w:tag w:val="goog_rdk_2"/>
          <w:id w:val="-2014846166"/>
        </w:sdtPr>
        <w:sdtContent/>
      </w:sdt>
      <w:r w:rsidRPr="004A3358">
        <w:rPr>
          <w:color w:val="000000"/>
          <w:sz w:val="22"/>
          <w:szCs w:val="22"/>
        </w:rPr>
        <w:t>Dane mogą zostać przekazane podmiotom zewnętrznym na podstawie umowy powierzenia przetwarzania danych osobowych, a także m.in. usługodawcom wykonującym usługi serwisu systemów informatycznych lub doradztwa prawnego, jak również podmiotom lub organom uprawnionym na podstawie przepisów prawa. Odbiorcami danych będą osoby lub podmioty, którym udostępniona zostanie dokumentacja postępowania w oparciu o art. 18 oraz art. 74 ust. 4 PZP.</w:t>
      </w:r>
    </w:p>
    <w:p w14:paraId="1594B143" w14:textId="77777777" w:rsidR="00421104" w:rsidRDefault="00421104" w:rsidP="00421104">
      <w:pPr>
        <w:pBdr>
          <w:top w:val="nil"/>
          <w:left w:val="nil"/>
          <w:bottom w:val="nil"/>
          <w:right w:val="nil"/>
          <w:between w:val="nil"/>
        </w:pBdr>
        <w:spacing w:before="120" w:after="120"/>
        <w:ind w:left="357"/>
        <w:jc w:val="both"/>
        <w:rPr>
          <w:color w:val="000000"/>
          <w:szCs w:val="24"/>
        </w:rPr>
      </w:pPr>
    </w:p>
    <w:p w14:paraId="04610A85" w14:textId="77777777" w:rsidR="00421104" w:rsidRDefault="00421104" w:rsidP="00421104">
      <w:pPr>
        <w:spacing w:before="60" w:after="120"/>
        <w:ind w:right="40"/>
        <w:jc w:val="center"/>
        <w:rPr>
          <w:b/>
          <w:bCs/>
          <w:sz w:val="22"/>
          <w:szCs w:val="22"/>
        </w:rPr>
      </w:pPr>
    </w:p>
    <w:p w14:paraId="19DD461E" w14:textId="77777777" w:rsidR="00421104" w:rsidRDefault="00421104" w:rsidP="00421104">
      <w:pPr>
        <w:spacing w:before="60" w:after="120"/>
        <w:ind w:right="40"/>
        <w:jc w:val="center"/>
        <w:rPr>
          <w:b/>
          <w:bCs/>
          <w:sz w:val="22"/>
          <w:szCs w:val="22"/>
        </w:rPr>
      </w:pPr>
    </w:p>
    <w:p w14:paraId="58D7B068" w14:textId="77777777" w:rsidR="00421104" w:rsidRDefault="00421104" w:rsidP="00421104">
      <w:pPr>
        <w:spacing w:before="60" w:after="120"/>
        <w:ind w:right="40"/>
        <w:jc w:val="center"/>
        <w:rPr>
          <w:b/>
          <w:bCs/>
          <w:sz w:val="22"/>
          <w:szCs w:val="22"/>
        </w:rPr>
      </w:pPr>
    </w:p>
    <w:p w14:paraId="659778DE" w14:textId="77777777" w:rsidR="00421104" w:rsidRDefault="00421104" w:rsidP="00421104">
      <w:pPr>
        <w:spacing w:before="60" w:after="60"/>
        <w:ind w:right="40"/>
        <w:jc w:val="center"/>
        <w:rPr>
          <w:b/>
          <w:bCs/>
          <w:sz w:val="20"/>
        </w:rPr>
      </w:pPr>
    </w:p>
    <w:p w14:paraId="0402DDB3" w14:textId="77777777" w:rsidR="008033CC" w:rsidRDefault="008033CC"/>
    <w:sectPr w:rsidR="008033CC" w:rsidSect="0042110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11504"/>
    <w:multiLevelType w:val="multilevel"/>
    <w:tmpl w:val="8F96DA0E"/>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4D435288"/>
    <w:multiLevelType w:val="multilevel"/>
    <w:tmpl w:val="EA54459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bCs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D758E"/>
    <w:multiLevelType w:val="multilevel"/>
    <w:tmpl w:val="432C7CF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num w:numId="1" w16cid:durableId="217280586">
    <w:abstractNumId w:val="0"/>
  </w:num>
  <w:num w:numId="2" w16cid:durableId="1122117732">
    <w:abstractNumId w:val="1"/>
  </w:num>
  <w:num w:numId="3" w16cid:durableId="1479685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42"/>
    <w:rsid w:val="003A4681"/>
    <w:rsid w:val="00421104"/>
    <w:rsid w:val="007D0975"/>
    <w:rsid w:val="008033CC"/>
    <w:rsid w:val="00DA3CD8"/>
    <w:rsid w:val="00E86A0E"/>
    <w:rsid w:val="00FE7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42A71-BDD4-4EB1-9B74-225BE590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104"/>
    <w:pPr>
      <w:spacing w:after="0" w:line="240" w:lineRule="auto"/>
    </w:pPr>
    <w:rPr>
      <w:rFonts w:ascii="Times New Roman" w:eastAsia="Times New Roman" w:hAnsi="Times New Roman" w:cs="Times New Roman"/>
      <w:kern w:val="0"/>
      <w:szCs w:val="20"/>
      <w:lang w:eastAsia="pl-PL"/>
      <w14:ligatures w14:val="none"/>
    </w:rPr>
  </w:style>
  <w:style w:type="paragraph" w:styleId="Nagwek1">
    <w:name w:val="heading 1"/>
    <w:basedOn w:val="Normalny"/>
    <w:next w:val="Normalny"/>
    <w:link w:val="Nagwek1Znak"/>
    <w:uiPriority w:val="9"/>
    <w:qFormat/>
    <w:rsid w:val="00FE7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7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7F4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7F4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7F4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7F4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7F4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7F4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7F4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7F4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7F4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7F4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7F4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7F4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7F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7F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7F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7F42"/>
    <w:rPr>
      <w:rFonts w:eastAsiaTheme="majorEastAsia" w:cstheme="majorBidi"/>
      <w:color w:val="272727" w:themeColor="text1" w:themeTint="D8"/>
    </w:rPr>
  </w:style>
  <w:style w:type="paragraph" w:styleId="Tytu">
    <w:name w:val="Title"/>
    <w:basedOn w:val="Normalny"/>
    <w:next w:val="Normalny"/>
    <w:link w:val="TytuZnak"/>
    <w:uiPriority w:val="10"/>
    <w:qFormat/>
    <w:rsid w:val="00FE7F4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7F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7F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7F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7F42"/>
    <w:pPr>
      <w:spacing w:before="160"/>
      <w:jc w:val="center"/>
    </w:pPr>
    <w:rPr>
      <w:i/>
      <w:iCs/>
      <w:color w:val="404040" w:themeColor="text1" w:themeTint="BF"/>
    </w:rPr>
  </w:style>
  <w:style w:type="character" w:customStyle="1" w:styleId="CytatZnak">
    <w:name w:val="Cytat Znak"/>
    <w:basedOn w:val="Domylnaczcionkaakapitu"/>
    <w:link w:val="Cytat"/>
    <w:uiPriority w:val="29"/>
    <w:rsid w:val="00FE7F42"/>
    <w:rPr>
      <w:i/>
      <w:iCs/>
      <w:color w:val="404040" w:themeColor="text1" w:themeTint="BF"/>
    </w:rPr>
  </w:style>
  <w:style w:type="paragraph" w:styleId="Akapitzlist">
    <w:name w:val="List Paragraph"/>
    <w:basedOn w:val="Normalny"/>
    <w:uiPriority w:val="34"/>
    <w:qFormat/>
    <w:rsid w:val="00FE7F42"/>
    <w:pPr>
      <w:ind w:left="720"/>
      <w:contextualSpacing/>
    </w:pPr>
  </w:style>
  <w:style w:type="character" w:styleId="Wyrnienieintensywne">
    <w:name w:val="Intense Emphasis"/>
    <w:basedOn w:val="Domylnaczcionkaakapitu"/>
    <w:uiPriority w:val="21"/>
    <w:qFormat/>
    <w:rsid w:val="00FE7F42"/>
    <w:rPr>
      <w:i/>
      <w:iCs/>
      <w:color w:val="2F5496" w:themeColor="accent1" w:themeShade="BF"/>
    </w:rPr>
  </w:style>
  <w:style w:type="paragraph" w:styleId="Cytatintensywny">
    <w:name w:val="Intense Quote"/>
    <w:basedOn w:val="Normalny"/>
    <w:next w:val="Normalny"/>
    <w:link w:val="CytatintensywnyZnak"/>
    <w:uiPriority w:val="30"/>
    <w:qFormat/>
    <w:rsid w:val="00FE7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7F42"/>
    <w:rPr>
      <w:i/>
      <w:iCs/>
      <w:color w:val="2F5496" w:themeColor="accent1" w:themeShade="BF"/>
    </w:rPr>
  </w:style>
  <w:style w:type="character" w:styleId="Odwoanieintensywne">
    <w:name w:val="Intense Reference"/>
    <w:basedOn w:val="Domylnaczcionkaakapitu"/>
    <w:uiPriority w:val="32"/>
    <w:qFormat/>
    <w:rsid w:val="00FE7F42"/>
    <w:rPr>
      <w:b/>
      <w:bCs/>
      <w:smallCaps/>
      <w:color w:val="2F5496" w:themeColor="accent1" w:themeShade="BF"/>
      <w:spacing w:val="5"/>
    </w:rPr>
  </w:style>
  <w:style w:type="character" w:styleId="Hipercze">
    <w:name w:val="Hyperlink"/>
    <w:basedOn w:val="Domylnaczcionkaakapitu"/>
    <w:uiPriority w:val="99"/>
    <w:unhideWhenUsed/>
    <w:rsid w:val="00421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gorzo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4215</Characters>
  <Application>Microsoft Office Word</Application>
  <DocSecurity>0</DocSecurity>
  <Lines>35</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Jedraszek</dc:creator>
  <cp:keywords/>
  <dc:description/>
  <cp:lastModifiedBy>Magdalena Jedraszek</cp:lastModifiedBy>
  <cp:revision>3</cp:revision>
  <dcterms:created xsi:type="dcterms:W3CDTF">2026-03-26T08:47:00Z</dcterms:created>
  <dcterms:modified xsi:type="dcterms:W3CDTF">2026-03-26T08:47:00Z</dcterms:modified>
</cp:coreProperties>
</file>