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DC4196C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E80282" w:rsidRPr="00E80282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Zabezpečenie licencií a podpory VoIP komunikačnej siete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E80282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6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792E65B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965767" w:rsidRPr="00965767">
        <w:rPr>
          <w:rFonts w:ascii="Times New Roman" w:hAnsi="Times New Roman"/>
          <w:sz w:val="24"/>
          <w:szCs w:val="24"/>
        </w:rPr>
        <w:t xml:space="preserve">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6892A10D" w:rsidR="00ED32EE" w:rsidRPr="00677FD2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77FD2">
        <w:rPr>
          <w:rFonts w:ascii="Times New Roman" w:hAnsi="Times New Roman"/>
          <w:sz w:val="24"/>
          <w:szCs w:val="24"/>
        </w:rPr>
        <w:t>Dodávateľ</w:t>
      </w:r>
      <w:r w:rsidR="00ED32EE" w:rsidRPr="00677FD2">
        <w:rPr>
          <w:rFonts w:ascii="Times New Roman" w:hAnsi="Times New Roman"/>
          <w:sz w:val="24"/>
          <w:szCs w:val="24"/>
        </w:rPr>
        <w:t xml:space="preserve"> sa zaväzuje dodať </w:t>
      </w:r>
      <w:r w:rsidRPr="00677FD2">
        <w:rPr>
          <w:rFonts w:ascii="Times New Roman" w:hAnsi="Times New Roman"/>
          <w:sz w:val="24"/>
          <w:szCs w:val="24"/>
        </w:rPr>
        <w:t>Objednávateľovi</w:t>
      </w:r>
      <w:r w:rsidR="00ED32EE" w:rsidRPr="00677FD2">
        <w:rPr>
          <w:rFonts w:ascii="Times New Roman" w:hAnsi="Times New Roman"/>
          <w:sz w:val="24"/>
          <w:szCs w:val="24"/>
        </w:rPr>
        <w:t xml:space="preserve"> Tovar uvedený v</w:t>
      </w:r>
      <w:r w:rsidR="00A356EC" w:rsidRPr="00677FD2">
        <w:rPr>
          <w:rFonts w:ascii="Times New Roman" w:hAnsi="Times New Roman"/>
          <w:sz w:val="24"/>
          <w:szCs w:val="24"/>
        </w:rPr>
        <w:t> </w:t>
      </w:r>
      <w:r w:rsidR="00ED32EE" w:rsidRPr="00677FD2">
        <w:rPr>
          <w:rFonts w:ascii="Times New Roman" w:hAnsi="Times New Roman"/>
          <w:sz w:val="24"/>
          <w:szCs w:val="24"/>
        </w:rPr>
        <w:t>bode</w:t>
      </w:r>
      <w:r w:rsidR="00A356EC" w:rsidRPr="00677FD2">
        <w:rPr>
          <w:rFonts w:ascii="Times New Roman" w:hAnsi="Times New Roman"/>
          <w:sz w:val="24"/>
          <w:szCs w:val="24"/>
        </w:rPr>
        <w:t> </w:t>
      </w:r>
      <w:r w:rsidR="00ED32EE" w:rsidRPr="00677FD2">
        <w:rPr>
          <w:rFonts w:ascii="Times New Roman" w:hAnsi="Times New Roman"/>
          <w:sz w:val="24"/>
          <w:szCs w:val="24"/>
        </w:rPr>
        <w:t xml:space="preserve">2.3 </w:t>
      </w:r>
      <w:r w:rsidR="0063607F" w:rsidRPr="00677FD2">
        <w:rPr>
          <w:rFonts w:ascii="Times New Roman" w:hAnsi="Times New Roman"/>
          <w:sz w:val="24"/>
          <w:szCs w:val="24"/>
        </w:rPr>
        <w:t>do 5 pracovných dní odo dňa účinnosti Zmluvy.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0FF81D28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D35CBC">
        <w:rPr>
          <w:rFonts w:ascii="Times New Roman" w:hAnsi="Times New Roman"/>
          <w:sz w:val="24"/>
          <w:szCs w:val="24"/>
        </w:rPr>
        <w:t>Popis služieb“ a</w:t>
      </w:r>
      <w:r w:rsidR="007D2AA3" w:rsidRPr="001623B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D35CBC">
        <w:rPr>
          <w:rFonts w:ascii="Times New Roman" w:hAnsi="Times New Roman"/>
          <w:sz w:val="24"/>
          <w:szCs w:val="24"/>
        </w:rPr>
        <w:t>„</w:t>
      </w:r>
      <w:r w:rsidR="00D35CBC" w:rsidRPr="00D35CBC">
        <w:rPr>
          <w:rFonts w:ascii="Times New Roman" w:hAnsi="Times New Roman"/>
          <w:sz w:val="24"/>
          <w:szCs w:val="24"/>
        </w:rPr>
        <w:t>Množstvo, trvanie a lokácie služieb</w:t>
      </w:r>
      <w:r w:rsidR="001623B9">
        <w:rPr>
          <w:rFonts w:ascii="Times New Roman" w:hAnsi="Times New Roman"/>
          <w:sz w:val="24"/>
          <w:szCs w:val="24"/>
        </w:rPr>
        <w:t>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604E3B4C" w14:textId="77777777" w:rsidR="007B1FC7" w:rsidRDefault="007B1FC7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</w:pPr>
    </w:p>
    <w:p w14:paraId="72C4291D" w14:textId="7E8C7024" w:rsidR="007B1FC7" w:rsidRPr="007B1FC7" w:rsidRDefault="007B1FC7" w:rsidP="007B1FC7">
      <w:pP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FC7">
        <w:rPr>
          <w:rFonts w:ascii="Times New Roman" w:hAnsi="Times New Roman"/>
          <w:b/>
          <w:bCs/>
          <w:sz w:val="28"/>
          <w:szCs w:val="28"/>
        </w:rPr>
        <w:t>Popis služieb</w:t>
      </w:r>
    </w:p>
    <w:p w14:paraId="60C5CD19" w14:textId="3445BF2E" w:rsidR="007B1FC7" w:rsidRDefault="007B1FC7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"C:\\Users\\tarbaj\\AppData\\Local\\Microsoft\\Windows\\INetCache\\Content.Outlook\\27EQBTW7\\VOIP_-_licencie_do_DNS_final.xlsx" "Popis služieb!R1C1:R12C4" \a \f 4 \h </w:instrText>
      </w:r>
      <w:r>
        <w:fldChar w:fldCharType="separate"/>
      </w:r>
    </w:p>
    <w:p w14:paraId="4ECC4CCA" w14:textId="77777777" w:rsidR="00324E46" w:rsidRDefault="007B1FC7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</w:p>
    <w:tbl>
      <w:tblPr>
        <w:tblStyle w:val="Mriekatabuky"/>
        <w:tblW w:w="15021" w:type="dxa"/>
        <w:tblLook w:val="04A0" w:firstRow="1" w:lastRow="0" w:firstColumn="1" w:lastColumn="0" w:noHBand="0" w:noVBand="1"/>
      </w:tblPr>
      <w:tblGrid>
        <w:gridCol w:w="838"/>
        <w:gridCol w:w="3835"/>
        <w:gridCol w:w="1842"/>
        <w:gridCol w:w="8506"/>
      </w:tblGrid>
      <w:tr w:rsidR="00324E46" w:rsidRPr="00324E46" w14:paraId="5CE03F72" w14:textId="77777777" w:rsidTr="00627BAC">
        <w:trPr>
          <w:trHeight w:val="960"/>
        </w:trPr>
        <w:tc>
          <w:tcPr>
            <w:tcW w:w="838" w:type="dxa"/>
            <w:noWrap/>
            <w:hideMark/>
          </w:tcPr>
          <w:p w14:paraId="0EAAB1B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Typ </w:t>
            </w:r>
          </w:p>
        </w:tc>
        <w:tc>
          <w:tcPr>
            <w:tcW w:w="3835" w:type="dxa"/>
            <w:noWrap/>
            <w:hideMark/>
          </w:tcPr>
          <w:p w14:paraId="45703BCE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/>
                <w:bCs/>
                <w:sz w:val="24"/>
                <w:szCs w:val="24"/>
              </w:rPr>
              <w:t>Popis položky</w:t>
            </w:r>
          </w:p>
        </w:tc>
        <w:tc>
          <w:tcPr>
            <w:tcW w:w="1842" w:type="dxa"/>
            <w:hideMark/>
          </w:tcPr>
          <w:p w14:paraId="7DB31983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Part </w:t>
            </w:r>
            <w:proofErr w:type="spellStart"/>
            <w:r w:rsidRPr="00324E46">
              <w:rPr>
                <w:rFonts w:ascii="Times New Roman" w:hAnsi="Times New Roman"/>
                <w:b/>
                <w:bCs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8506" w:type="dxa"/>
            <w:noWrap/>
            <w:hideMark/>
          </w:tcPr>
          <w:p w14:paraId="5AE6A1F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/>
                <w:bCs/>
                <w:sz w:val="24"/>
                <w:szCs w:val="24"/>
              </w:rPr>
              <w:t>Opis a rozsah plnenia</w:t>
            </w:r>
          </w:p>
        </w:tc>
      </w:tr>
      <w:tr w:rsidR="00324E46" w:rsidRPr="00324E46" w14:paraId="5C346A09" w14:textId="77777777" w:rsidTr="00627BAC">
        <w:trPr>
          <w:trHeight w:val="6000"/>
        </w:trPr>
        <w:tc>
          <w:tcPr>
            <w:tcW w:w="838" w:type="dxa"/>
            <w:noWrap/>
            <w:hideMark/>
          </w:tcPr>
          <w:p w14:paraId="21EED387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6235B71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41BDA70D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8506" w:type="dxa"/>
            <w:hideMark/>
          </w:tcPr>
          <w:p w14:paraId="23BE7252" w14:textId="62F532A0" w:rsidR="00324E46" w:rsidRPr="00324E46" w:rsidRDefault="00241810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lužb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softvérovej podpory (Software 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Assurance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– SWA) v štandardnej úrovni (Standard)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zahŕňa nasledujúce plnenia: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Právo na aktualizácie a upgrady (Software 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Subscription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):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Bezodplatný prístup ku všetkým novým verziám softvéru (major 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releases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), revíziám (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minor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releases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) a servisným balíkom (Service 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Packs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) vydaným výrobcom počas doby platnosti zmluvy.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kontinuálnej softvérovej kompatibility s aktuálnymi bezpečnostnými štandardmi a operačnými systémami.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Technická podpora výrobcu (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Tier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3 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Support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):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Garantovaný prístup k oficiálnej technickej podpore výrobcu komunikačného systému pre riešenie kritických chybových stavov softvéru, ktoré nie je možné odstrániť bežnou údržbou.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Možnosť eskalácie systémových incidentov priamo na vývojové oddelenie výrobcu.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Oprava softvérových chýb (Bug 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Fixing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):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Právo na čerpanie softvérových opráv a bezpečnostných záplat (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Patches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) určených na elimináciu zraniteľností a optimalizáciu stability systému.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Licenčná správa a dokumentácia: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prístupu k licenčnému portálu výrobcu pre správu a evidenciu softvérových oprávnení.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Prístup k aktuálnej technickej dokumentácii a znalostnej báze (</w:t>
            </w:r>
            <w:proofErr w:type="spellStart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>Knowledge</w:t>
            </w:r>
            <w:proofErr w:type="spellEnd"/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Base).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="00324E46"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sa vzťahuje na aktuálne registrovaný počet licencií a používateľov v systéme.</w:t>
            </w:r>
          </w:p>
        </w:tc>
      </w:tr>
      <w:tr w:rsidR="00324E46" w:rsidRPr="00324E46" w14:paraId="20B52A80" w14:textId="77777777" w:rsidTr="00627BAC">
        <w:trPr>
          <w:trHeight w:val="3300"/>
        </w:trPr>
        <w:tc>
          <w:tcPr>
            <w:tcW w:w="838" w:type="dxa"/>
            <w:noWrap/>
            <w:hideMark/>
          </w:tcPr>
          <w:p w14:paraId="61D4C897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3B202338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5AF3F76E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8506" w:type="dxa"/>
            <w:hideMark/>
          </w:tcPr>
          <w:p w14:paraId="5C6819DD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Zabezpečenie kontinuálnej podpory a funkčnosti pre koncové zariadenia (IP telefóny, softvéroví klienti, mobilné aplikácie) priradené k danému používateľskému profilu.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Nárok na bezodplatné stiahnutie a používanie najnovších verzií klientskych aplikácií (napr.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MiCollab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softphones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a firmvéru pre terminály v rámci daného používateľského balíka.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Garancia kompatibility používateľských licencií s novými verziami systémového softvéru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System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Software) počas trvania zmluvy.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Možnosť prenosu a reaktivácie používateľských oprávnení v prípade výmeny koncového zariadenia alebo migrácie na virtuálne prostredie v rámci podporovanej infraštruktúry.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Táto podpora je viazaná na existujúci počet aktívnych používateľských profilov v komunikačnom systéme.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Služba je poskytovaná v režime 8x5 (alebo podľa úrovne Standard stanovenej výrobcom).</w:t>
            </w:r>
          </w:p>
        </w:tc>
      </w:tr>
      <w:tr w:rsidR="00324E46" w:rsidRPr="00324E46" w14:paraId="02F30EF5" w14:textId="77777777" w:rsidTr="00627BAC">
        <w:trPr>
          <w:trHeight w:val="4632"/>
        </w:trPr>
        <w:tc>
          <w:tcPr>
            <w:tcW w:w="838" w:type="dxa"/>
            <w:noWrap/>
            <w:hideMark/>
          </w:tcPr>
          <w:p w14:paraId="612C2399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755EA023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4A324CB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51304538</w:t>
            </w:r>
          </w:p>
        </w:tc>
        <w:tc>
          <w:tcPr>
            <w:tcW w:w="8506" w:type="dxa"/>
            <w:hideMark/>
          </w:tcPr>
          <w:p w14:paraId="06B5AE79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Predmetom plnenia je poskytovanie softvérovej údržby a podpory pre centrálny administratívny nástroj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Provisioning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Manager), ktorý zabezpečuje efektívnu správu koncových bodov, používateľských profilov a systémových nastavení komunikačnej platformy. Rozsah plnenia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Právo na bezodplatné čerpanie nových verzií a vylepšení nástroja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Provisioning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Manager (napr. podpora pre nové typy koncových zariadení, vylepšené grafické rozhranie).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Prístup k opravným balíkom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Hotfixes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a bezpečnostným záplatám vydaným výrobcom špeciálne pre tento modul správy.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Garancia plnej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interoperability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medzi administratívnym nástrojom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Provisioning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Manager) a hlavným komunikačným serverom (PBX) po vykonaní systémových upgradov.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Možnosť eskalácie chýb v nástroji na správu priamo k technickému tímu výrobcu prostredníctvom certifikovaného partnera.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Zabezpečenie kontinuity nástrojov pre hromadný import/export dát a synchronizáciu s externými adresármi (napr.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Active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Directory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/ LDAP), ak sú súčasťou riešenia.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Vyžaduje sa plná kompatibilita s existujúcimi licenciami komunikačného systému (Tel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a Tel User).</w:t>
            </w:r>
          </w:p>
        </w:tc>
      </w:tr>
      <w:tr w:rsidR="00324E46" w:rsidRPr="00324E46" w14:paraId="126C53CF" w14:textId="77777777" w:rsidTr="00627BAC">
        <w:trPr>
          <w:trHeight w:val="4200"/>
        </w:trPr>
        <w:tc>
          <w:tcPr>
            <w:tcW w:w="838" w:type="dxa"/>
            <w:noWrap/>
            <w:hideMark/>
          </w:tcPr>
          <w:p w14:paraId="41918CEB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07D7EAE5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User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015AFD4E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51304551</w:t>
            </w:r>
          </w:p>
        </w:tc>
        <w:tc>
          <w:tcPr>
            <w:tcW w:w="8506" w:type="dxa"/>
            <w:hideMark/>
          </w:tcPr>
          <w:p w14:paraId="1AB44FF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Predmetom plnenia je zabezpečenie kontinuálnej softvérovej podpory (SWA) pre používateľské licencie v rámci administratívneho nástroja na správu komunikačného systému. Rozsah plnenia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Právo na využívanie najnovších verzií používateľských šablón a konfiguračných skriptov v rámci nástroja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Provisioning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Manager.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bezproblémového prenosu a synchronizácie zmien v používateľských nastaveniach (napr. zmena mena, čísla, priradenie funkcií) medzi manažérskym nástrojom a koncovými zariadeniami.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Garancia, že zmeny vykonané cez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Provisioning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Manager budú korektne distribuované do všetkých podporovaných klientskych rozhraní (softvérové telefóny, mobilné aplikácie) v súlade s ich aktuálnymi verziami.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pri riešení incidentov spojených s aktiváciou, deaktiváciou alebo presunom používateľských licencií v rámci systému.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Počet licencií v rámci tejto položky musí korešpondovať s celkovým počtom spravovaných koncových bodov (používateľov) v komunikačnom systéme.</w:t>
            </w:r>
          </w:p>
        </w:tc>
      </w:tr>
      <w:tr w:rsidR="00324E46" w:rsidRPr="00324E46" w14:paraId="619CFD3D" w14:textId="77777777" w:rsidTr="00627BAC">
        <w:trPr>
          <w:trHeight w:val="6000"/>
        </w:trPr>
        <w:tc>
          <w:tcPr>
            <w:tcW w:w="838" w:type="dxa"/>
            <w:noWrap/>
            <w:hideMark/>
          </w:tcPr>
          <w:p w14:paraId="60D7D718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5363A054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SWA MX-ONE UC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Advantage</w:t>
            </w:r>
            <w:proofErr w:type="spellEnd"/>
          </w:p>
        </w:tc>
        <w:tc>
          <w:tcPr>
            <w:tcW w:w="1842" w:type="dxa"/>
            <w:noWrap/>
            <w:hideMark/>
          </w:tcPr>
          <w:p w14:paraId="300A8830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54012543</w:t>
            </w:r>
          </w:p>
        </w:tc>
        <w:tc>
          <w:tcPr>
            <w:tcW w:w="8506" w:type="dxa"/>
            <w:hideMark/>
          </w:tcPr>
          <w:p w14:paraId="1F1772D4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Predmetom plnenia je zabezpečenie kontinuálnej softvérovej podpory (Software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Assurance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pre balík licencií zjednotenej komunikácie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Unified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Communications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). Podpora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Právo na aktualizácie UC aplikácií: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Bezodplatný prístup k novým verziám a vylepšeniam klientskych aplikácií pre PC (Windows/Mac) a mobilné zariadenia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iOS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/Android) v rámci balíka UC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Advantage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pokročilých funkcií spolupráce: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Garancia funkčnosti nástrojov pre zdieľanie obrazovky, audio/video konferencií a okamžitých správ (IM/Chat) v súlade s aktuálnymi bezpečnostnými protokolmi.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Integrácia s externými systémami: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Zabezpečenie kompatibility pri integrácii s kancelárskymi balíkmi (napr. Microsoft 365 / Google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Workspace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), ktoré sú súčasťou ekosystému UC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Advantage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Bezpečnostné záplaty a stabilita: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Prístup k opravám chýb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bug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fixes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a bezpečnostným patchom, ktoré eliminujú zraniteľnosti v komunikačných klientoch a serverových komponentoch UC.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Technická podpora pre UC infraštruktúru: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Možnosť eskalácie problémov súvisiacich s funkciami zjednotenej komunikácie priamo na špecializovanú technickú podporu výrobcu.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Táto podpora sa vzťahuje na počet používateľov, ktorí majú aktivovaný balík licencií typu UC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Advantage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24E46" w:rsidRPr="00324E46" w14:paraId="582D7940" w14:textId="77777777" w:rsidTr="00627BAC">
        <w:trPr>
          <w:trHeight w:val="6300"/>
        </w:trPr>
        <w:tc>
          <w:tcPr>
            <w:tcW w:w="838" w:type="dxa"/>
            <w:noWrap/>
            <w:hideMark/>
          </w:tcPr>
          <w:p w14:paraId="5EABFF4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076D12C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Apresa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Support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Upgrades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annual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fee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7E75F072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092.04695 </w:t>
            </w:r>
          </w:p>
        </w:tc>
        <w:tc>
          <w:tcPr>
            <w:tcW w:w="8506" w:type="dxa"/>
            <w:hideMark/>
          </w:tcPr>
          <w:p w14:paraId="0D96404D" w14:textId="077D3278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Predmetom plnenia je zabezpečenie kontinuálnej technickej podpory a prístupu k softvérovým vylepšeniam pre záznamové zariadenie (archív) hovorov. Rozsah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Softvérová údržba a aktualizácie: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Právo na inštaláciu a používanie najnovších verzií softvéru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Apresa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firmware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a aplikačné rozhranie).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kompatibility s aktualizáciami operačného systému (Linux/Windows) a sieťových protokolov.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pri nahrávaní a bezpečnosti: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Aktualizácia bezpečnostných certifikátov a šifrovacích mechanizmov pre ochranu zaznamenaných dát v súlade s nariadením GDPR.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pre nové typy kodekov a komunikačných kanálov (IP, SIP), ktoré systém monitoruje.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Vzdialená technická podpora (Helpdesk):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Prístup k technickej podpore výrobcu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Vidicode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na riešenie incidentov spojených s integritou databázy nahrávok alebo výpadkami nahrávania.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Diagnostika a optimalizácia: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Pravidelná kontrola systémových logov a podpora pri optimalizácii úložiska pre dlhodobú archiváciu hovorov.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Podpora sa vzťahuje na celú inštaláciu systému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Apresa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(v závislosti od počtu aktívnych kanálov definovaných v pôvodnej licencii).</w:t>
            </w:r>
          </w:p>
        </w:tc>
      </w:tr>
      <w:tr w:rsidR="00324E46" w:rsidRPr="00324E46" w14:paraId="0864E9B6" w14:textId="77777777" w:rsidTr="00627BAC">
        <w:trPr>
          <w:trHeight w:val="6000"/>
        </w:trPr>
        <w:tc>
          <w:tcPr>
            <w:tcW w:w="838" w:type="dxa"/>
            <w:noWrap/>
            <w:hideMark/>
          </w:tcPr>
          <w:p w14:paraId="63917DB1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5F8FC94A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Ent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System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2A29FB7E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54007089</w:t>
            </w:r>
          </w:p>
        </w:tc>
        <w:tc>
          <w:tcPr>
            <w:tcW w:w="8506" w:type="dxa"/>
            <w:hideMark/>
          </w:tcPr>
          <w:p w14:paraId="27A1E1EC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Predmetom plnenia je zabezpečenie kontinuálnej softvérovej údržby a technickej podpory pre serverovú časť aplikácie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MiContact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Center Enterprise. Rozsah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Aktualizácia systému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Právo na bezodplatné stiahnutie a inštaláciu nových verzií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Upgrades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), opravných balíkov a bezpečnostných záplat pre serverovú infraštruktúru kontaktného centra.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inteligentného smerovania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Routing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Garancia funkčnosti algoritmov pre smerovanie multimediálnych kontaktov (hlas, e-mail, chat, SMS) na základe zručností agentov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Skills-based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routing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Reportovacie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a monitorovacie nástroje: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kompatibility a aktualizácií pre moduly historických reportov a sledovanie prevádzky v reálnom čase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Real-time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dashboards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Technická podpora úrovne "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Advanced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":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Prioritný prístup k technickej pomoci výrobcu pri riešení kritických prevádzkových stavov (napr. nefunkčnosť smerovania hovorov alebo strata dát v reportoch).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Interoperabilita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 MX-ONE: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Garancia plnej synchronizácie a funkčnosti s hlavnou telekomunikačnou platformou (MX-ONE) po vykonaní systémových zmien alebo upgradov.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Podpora je určená pre Enterprise edíciu systému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24E46" w:rsidRPr="00324E46" w14:paraId="536C6FCF" w14:textId="77777777" w:rsidTr="00627BAC">
        <w:trPr>
          <w:trHeight w:val="6000"/>
        </w:trPr>
        <w:tc>
          <w:tcPr>
            <w:tcW w:w="838" w:type="dxa"/>
            <w:noWrap/>
            <w:hideMark/>
          </w:tcPr>
          <w:p w14:paraId="2266AFD4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58742125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MiCCEnt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Lite Agent 1Y</w:t>
            </w:r>
          </w:p>
        </w:tc>
        <w:tc>
          <w:tcPr>
            <w:tcW w:w="1842" w:type="dxa"/>
            <w:noWrap/>
            <w:hideMark/>
          </w:tcPr>
          <w:p w14:paraId="7A286D11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54007101</w:t>
            </w:r>
          </w:p>
        </w:tc>
        <w:tc>
          <w:tcPr>
            <w:tcW w:w="8506" w:type="dxa"/>
            <w:hideMark/>
          </w:tcPr>
          <w:p w14:paraId="7BED2334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Predmetom plnenia je zabezpečenie kontinuálnej softvérovej údržby a technickej podpory pre klientske licencie typu "Lite Agent" v systéme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MiContact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Center Enterprise. Rozsah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Aktualizácia agentovho rozhrania: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Právo na používanie najnovších verzií aplikácií pre agentov (napr.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Desktop, Web Agent), ktoré umožňujú prihlasovanie do radov, správu stavov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Ready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Not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Ready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a obsluhu hovorov.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funkcií hlasovej obsluhy: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Garancia funkčnosti ovládania hovorov priamo z PC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softphone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integrácia), zobrazovania informácií o volajúcom a integrácie s podnikovými adresármi.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Záruka kompatibility s OS: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bezproblémového chodu klientskeho softvéru na aktuálnych verziách operačných systémov (Windows) a webových prehliadačov.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Technická podpora pre koncové body: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Diagnostika a riešenie problémov súvisiacich s konektivitou agentov k serveru kontaktného centra a správnou funkciou ovládacích prvkov.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Právo na bezpečnostné záplaty: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Prístup k všetkým vydaným opravám, ktoré riešia stabilitu a bezpečnosť klientskeho softvéru pre agentov.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Počet licencií v rámci tejto položky musí zodpovedať počtu aktívnych agentov typu "Lite" definovaných v systéme.</w:t>
            </w:r>
          </w:p>
        </w:tc>
      </w:tr>
      <w:tr w:rsidR="00324E46" w:rsidRPr="00324E46" w14:paraId="55458FB8" w14:textId="77777777" w:rsidTr="00627BAC">
        <w:trPr>
          <w:trHeight w:val="6000"/>
        </w:trPr>
        <w:tc>
          <w:tcPr>
            <w:tcW w:w="838" w:type="dxa"/>
            <w:noWrap/>
            <w:hideMark/>
          </w:tcPr>
          <w:p w14:paraId="020A4406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5EE05C44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MiCCEnt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Mngt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User 1y</w:t>
            </w:r>
          </w:p>
        </w:tc>
        <w:tc>
          <w:tcPr>
            <w:tcW w:w="1842" w:type="dxa"/>
            <w:noWrap/>
            <w:hideMark/>
          </w:tcPr>
          <w:p w14:paraId="60407E7C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54007110</w:t>
            </w:r>
          </w:p>
        </w:tc>
        <w:tc>
          <w:tcPr>
            <w:tcW w:w="8506" w:type="dxa"/>
            <w:hideMark/>
          </w:tcPr>
          <w:p w14:paraId="25414D77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Predmetom plnenia je zabezpečenie kontinuálnej softvérovej údržby a technickej podpory pre klientske licencie typu "Management User" v systéme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MiContact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Center Enterprise. Rozsah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Aktualizácia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supervízorských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nástrojov: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Právo na používanie najnovších verzií aplikácií pre správu a dohľad (napr.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Management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Console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Contact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Center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Client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), ktoré umožňujú monitorovanie prevádzky v reálnom čase.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Podpora analytických 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reportovacích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funkcií: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Garancia funkčnosti modulov pre tvorbu, plánovanie a automatickú distribúciu historických reportov o výkone kontaktného centra.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Nástroje pre riadenie v reálnom čase: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funkcií pre vizuálne sledovanie stavu frontov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Queues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a agentov, vrátane nástrojov na operatívne zmeny v konfigurácii (napr. zmena priorít, priraďovanie agentov do skupín).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Záruka kompatibility s OS a DB: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Zabezpečenie bezproblémového chodu manažérskych aplikácií na aktuálnych verziách klientskych operačných systémov a ich prepojenia s databázovým serverom systému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Technická podpora pre pokročilé funkcie: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Diagnostika a riešenie problémov priamo s výrobcom pre kritické funkcie dohľadu 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reportingu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, ktoré sú nevyhnutné pre riadenie prevádzky.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Počet licencií musí zodpovedať počtu aktívnych manažérskych/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supervízorských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prístupov v systéme.</w:t>
            </w:r>
          </w:p>
        </w:tc>
      </w:tr>
      <w:tr w:rsidR="00324E46" w:rsidRPr="00324E46" w14:paraId="5AB1B4F2" w14:textId="77777777" w:rsidTr="00627BAC">
        <w:trPr>
          <w:trHeight w:val="5029"/>
        </w:trPr>
        <w:tc>
          <w:tcPr>
            <w:tcW w:w="838" w:type="dxa"/>
            <w:noWrap/>
            <w:hideMark/>
          </w:tcPr>
          <w:p w14:paraId="68A7563D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SWA </w:t>
            </w:r>
          </w:p>
        </w:tc>
        <w:tc>
          <w:tcPr>
            <w:tcW w:w="3835" w:type="dxa"/>
            <w:noWrap/>
            <w:hideMark/>
          </w:tcPr>
          <w:p w14:paraId="76A45E8A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Ent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IVR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Sess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1ACBC20E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54007117</w:t>
            </w:r>
          </w:p>
        </w:tc>
        <w:tc>
          <w:tcPr>
            <w:tcW w:w="8506" w:type="dxa"/>
            <w:hideMark/>
          </w:tcPr>
          <w:p w14:paraId="15E0588C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Predmetom plnenia je zabezpečenie kontinuálnej softvérovej údržby a technickej podpory pre licencovanú kapacitu IVR portov v systéme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MiContact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Center Enterprise. Rozsah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Aktualizácia IVR modulov: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Právo na najnovšie verzie softvéru pre hlasovú navigáciu, prehrávanie oznámení a spracovanie tónovej voľby (DTMF).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automatizovaných procesov: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Garancia funkčnosti skriptov pre automatické smerovanie hovorov a integráciu s externými databázami (napr. overenie klienta podľa čísla zadaného v IVR).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Optimalizácia hlasových tokov: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Prístup k opravám a vylepšeniam, ktoré zabezpečujú stabilitu spojenia počas interakcie volajúceho s automatom.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Záruka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interoperability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 médiami: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kompatibility IVR relácií s aktuálnymi zvukovými kodekmi a protokolmi prenosu hlasu (SIP/IP).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Technická podpora pre samoobslužné funkcie: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Riešenie incidentov spojených s nefunkčnosťou hlasových ponúk alebo chybami v logike smerovania hovorov pred ich pridelením agentovi.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Počet licencií musí zodpovedať celkovému počtu paralelných IVR kanálov nakonfigurovaných v systéme.</w:t>
            </w:r>
          </w:p>
        </w:tc>
      </w:tr>
      <w:tr w:rsidR="00324E46" w:rsidRPr="00324E46" w14:paraId="5455F13F" w14:textId="77777777" w:rsidTr="00627BAC">
        <w:trPr>
          <w:trHeight w:val="6000"/>
        </w:trPr>
        <w:tc>
          <w:tcPr>
            <w:tcW w:w="838" w:type="dxa"/>
            <w:noWrap/>
            <w:hideMark/>
          </w:tcPr>
          <w:p w14:paraId="6E7789B1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3835" w:type="dxa"/>
            <w:noWrap/>
            <w:hideMark/>
          </w:tcPr>
          <w:p w14:paraId="7AEA4D13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842" w:type="dxa"/>
            <w:noWrap/>
            <w:hideMark/>
          </w:tcPr>
          <w:p w14:paraId="099BC2D3" w14:textId="77777777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8506" w:type="dxa"/>
            <w:hideMark/>
          </w:tcPr>
          <w:p w14:paraId="378DC1F0" w14:textId="4E569771" w:rsidR="00324E46" w:rsidRPr="00324E46" w:rsidRDefault="00324E46" w:rsidP="00324E46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Predmetom plnenia je zabezpečenie softvérovej údržby a podpory pre licencie priradené k sieťovým bránam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Gateways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) v rámci komunikačného systému. Rozsah zahŕňa: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Aktualizácia firmvéru a ovládačov: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Právo na prístup k najnovším verziám firmvéru pre komunikačné brány, ktoré zabezpečujú stabilitu hardvérových rozhraní (analógové, digitálne porty).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signalizačných protokolov: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Garancia funkčnosti a aktualizácie protokolov potrebných na prepojenie s verejnou telefónnou sieťou (napr. SIP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trunking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, ISDN PRI/BRI) a internými koncovými bodmi.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Zabezpečenie kompatibility: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Udržanie plnej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interoperability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medzi komunikačnou bránou a hlavným riadiacim serverom (PBX) po vykonaní systémových upgradov.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Bezpečnostná údržba: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Prístup k opravám zraniteľností v sieťových 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stackoch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 xml:space="preserve"> brány a aktualizácia šifrovacích mechanizmov pre prenos hlasovej signalizácie.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Technická asistencia pre prepojovacie body: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Možnosť riešenia incidentov súvisiacich s nekvalitným prenosom hlasu (</w:t>
            </w:r>
            <w:proofErr w:type="spellStart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jitter</w:t>
            </w:r>
            <w:proofErr w:type="spellEnd"/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t>, echo) alebo výpadkami konektivity na rozhraní brány prostredníctvom technickej podpory výrobcu.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Podmienky poskytovania:</w:t>
            </w:r>
            <w:r w:rsidRPr="00324E46">
              <w:rPr>
                <w:rFonts w:ascii="Times New Roman" w:hAnsi="Times New Roman"/>
                <w:bCs/>
                <w:sz w:val="24"/>
                <w:szCs w:val="24"/>
              </w:rPr>
              <w:br/>
              <w:t>Podpora sa vzťahuje na počet licencovaných brán (alebo portov) v systéme.</w:t>
            </w:r>
          </w:p>
        </w:tc>
      </w:tr>
    </w:tbl>
    <w:p w14:paraId="21C260CB" w14:textId="2414D8C2" w:rsidR="007B1FC7" w:rsidRPr="00324E46" w:rsidRDefault="007B1FC7" w:rsidP="00324E46">
      <w:pP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14:paraId="252C4DF1" w14:textId="2899724B" w:rsidR="00410E6E" w:rsidRPr="00324E46" w:rsidRDefault="00410E6E" w:rsidP="00324E46">
      <w:pP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14:paraId="4DC66E26" w14:textId="39C58423" w:rsidR="00324E46" w:rsidRDefault="00324E46" w:rsidP="00324E46">
      <w:pP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359AFBD6" w14:textId="539ACEDC" w:rsidR="007B1FC7" w:rsidRPr="007B1FC7" w:rsidRDefault="007B1FC7" w:rsidP="007B1FC7">
      <w:pP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B1FC7">
        <w:rPr>
          <w:rFonts w:ascii="Times New Roman" w:hAnsi="Times New Roman"/>
          <w:b/>
          <w:sz w:val="24"/>
          <w:szCs w:val="24"/>
        </w:rPr>
        <w:lastRenderedPageBreak/>
        <w:t>Množstvo, trvanie a lokácie služieb</w:t>
      </w:r>
    </w:p>
    <w:p w14:paraId="695ADA12" w14:textId="77777777" w:rsidR="007B1FC7" w:rsidRDefault="007B1FC7" w:rsidP="007B1FC7">
      <w:pP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1426"/>
        <w:gridCol w:w="4664"/>
        <w:gridCol w:w="1771"/>
        <w:gridCol w:w="1344"/>
        <w:gridCol w:w="1284"/>
        <w:gridCol w:w="1560"/>
        <w:gridCol w:w="1948"/>
      </w:tblGrid>
      <w:tr w:rsidR="00D17821" w:rsidRPr="00D17821" w14:paraId="2DD06F3D" w14:textId="77777777" w:rsidTr="00FA66F3">
        <w:trPr>
          <w:trHeight w:val="1140"/>
        </w:trPr>
        <w:tc>
          <w:tcPr>
            <w:tcW w:w="1129" w:type="dxa"/>
            <w:hideMark/>
          </w:tcPr>
          <w:p w14:paraId="149918F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Položka číslo</w:t>
            </w:r>
          </w:p>
        </w:tc>
        <w:tc>
          <w:tcPr>
            <w:tcW w:w="1426" w:type="dxa"/>
            <w:hideMark/>
          </w:tcPr>
          <w:p w14:paraId="506005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Podpoložka</w:t>
            </w:r>
          </w:p>
        </w:tc>
        <w:tc>
          <w:tcPr>
            <w:tcW w:w="4664" w:type="dxa"/>
            <w:hideMark/>
          </w:tcPr>
          <w:p w14:paraId="0EC6123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Technické vlastnosti (SYSID) / Názov služby</w:t>
            </w:r>
          </w:p>
        </w:tc>
        <w:tc>
          <w:tcPr>
            <w:tcW w:w="1771" w:type="dxa"/>
            <w:hideMark/>
          </w:tcPr>
          <w:p w14:paraId="5FB692F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Čislo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služby</w:t>
            </w:r>
          </w:p>
        </w:tc>
        <w:tc>
          <w:tcPr>
            <w:tcW w:w="1344" w:type="dxa"/>
            <w:hideMark/>
          </w:tcPr>
          <w:p w14:paraId="7A2FE6C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Množstvo</w:t>
            </w:r>
          </w:p>
        </w:tc>
        <w:tc>
          <w:tcPr>
            <w:tcW w:w="1284" w:type="dxa"/>
            <w:hideMark/>
          </w:tcPr>
          <w:p w14:paraId="1AB5B8EA" w14:textId="19B187E9" w:rsidR="00D17821" w:rsidRPr="00D17821" w:rsidRDefault="00241810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Platnosť súčasnej licencie</w:t>
            </w:r>
          </w:p>
        </w:tc>
        <w:tc>
          <w:tcPr>
            <w:tcW w:w="1560" w:type="dxa"/>
            <w:hideMark/>
          </w:tcPr>
          <w:p w14:paraId="4883A14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Požadovaný koniec platnosti</w:t>
            </w:r>
          </w:p>
        </w:tc>
        <w:tc>
          <w:tcPr>
            <w:tcW w:w="1948" w:type="dxa"/>
            <w:hideMark/>
          </w:tcPr>
          <w:p w14:paraId="7CCF0A7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Cena za položku bez DPH</w:t>
            </w:r>
          </w:p>
        </w:tc>
      </w:tr>
      <w:tr w:rsidR="00FA66F3" w:rsidRPr="00D17821" w14:paraId="0B4F1F61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3048371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5D75AB6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063E07B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AA353-610F5-24ACD-09F54-DC6F8 ZU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Taipei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14BA6A7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4E925A0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5F94846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4.3.2026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5FA73BC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2DAE1B0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50808D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573852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BC937B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216B20A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5D070E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4888E7C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473163B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CCA23F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48" w:type="dxa"/>
            <w:noWrap/>
            <w:hideMark/>
          </w:tcPr>
          <w:p w14:paraId="01D28A1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1A4471D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04714D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1F66D0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45C2AC8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862AC7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5C7FF64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84" w:type="dxa"/>
            <w:noWrap/>
            <w:hideMark/>
          </w:tcPr>
          <w:p w14:paraId="3417C47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ED96F7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696C8D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0BF29F84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3648D6F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236A7FE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47B92B5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51038-76CF0-A8411-6E1BC-42449 Jakarta ZU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5C0767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638D35C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3B54F3E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31.3.2026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451CB76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79B410B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C3D5DE6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5DE4CD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C35BAC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644C326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A364A7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6FD4C30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5049C12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8849D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52A12CB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72FCF625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947E5D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64A610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2E78E1D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E7C096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2782C07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5E1F5B3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3FC3F9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F1FD36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3C366A23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6D7BD55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42B433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162EB8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8B1FC-4B351-BD4A4-13B90-FBB7F ZU-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Rijad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195AACB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46A1DE4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4AD9EB5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4.3.2026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252556D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248277B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EED1655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0E929A5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9376BA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4E297EB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8EE3FC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5711188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45E689B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83F3FA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D79A64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C755F93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87EB69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02F6E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46A0FFC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981E8B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77CA53E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2801BC6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5A6970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2FC19C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65DDF4C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DE06F6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61EBCE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2442A94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C644F0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51304538</w:t>
            </w:r>
          </w:p>
        </w:tc>
        <w:tc>
          <w:tcPr>
            <w:tcW w:w="1344" w:type="dxa"/>
            <w:noWrap/>
            <w:hideMark/>
          </w:tcPr>
          <w:p w14:paraId="1F38714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535F3B7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779095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9672E0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81C251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A4C19C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486102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4" w:type="dxa"/>
            <w:noWrap/>
            <w:hideMark/>
          </w:tcPr>
          <w:p w14:paraId="66279E9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18FBAD3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51304551</w:t>
            </w:r>
          </w:p>
        </w:tc>
        <w:tc>
          <w:tcPr>
            <w:tcW w:w="1344" w:type="dxa"/>
            <w:noWrap/>
            <w:hideMark/>
          </w:tcPr>
          <w:p w14:paraId="0A31173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185337C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B8E73C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32FC678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1AA2C519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0AC6EF8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0CDF7BD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749E954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4A77B-9753F-FD92B-51609-5EAEA GK Sydney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02D100F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271F8EB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00B249F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52CD3B0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265EB71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43F5EDD7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1701E7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54D483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30D769F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3095E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296D0EA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57D8D1E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3F9303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9BC32C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B6E91C4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CB2254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94BE16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1F137F3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A0352E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7C90CC3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84" w:type="dxa"/>
            <w:noWrap/>
            <w:hideMark/>
          </w:tcPr>
          <w:p w14:paraId="59F7922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9AECE4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22CCAD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1235E6D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BDAE91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82DE05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7305400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B762A2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6F3B08E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46D0983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B6C9F8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131735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F60A3E8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4EA327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79E17C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4" w:type="dxa"/>
            <w:noWrap/>
            <w:hideMark/>
          </w:tcPr>
          <w:p w14:paraId="3702325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A51E44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51304538</w:t>
            </w:r>
          </w:p>
        </w:tc>
        <w:tc>
          <w:tcPr>
            <w:tcW w:w="1344" w:type="dxa"/>
            <w:noWrap/>
            <w:hideMark/>
          </w:tcPr>
          <w:p w14:paraId="62B0871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293B2F6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E968F8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510C493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034F3A6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97CE39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7339EF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64" w:type="dxa"/>
            <w:noWrap/>
            <w:hideMark/>
          </w:tcPr>
          <w:p w14:paraId="42669A1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533145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51304551</w:t>
            </w:r>
          </w:p>
        </w:tc>
        <w:tc>
          <w:tcPr>
            <w:tcW w:w="1344" w:type="dxa"/>
            <w:noWrap/>
            <w:hideMark/>
          </w:tcPr>
          <w:p w14:paraId="43A0243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719A77A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DECE61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443984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4C4E03A0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0A73C85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16D9DC2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3EDF492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08F5A-E089A-04B1A-84668-D1D99 ZU Nairobi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17073AD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0B68690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3F90EF4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36376AA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0704556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4EFD4611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67EDE07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BC9698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68E17B1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D3CEE0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1584BBB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202148C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7F194B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9E41B6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258BEDD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6575E4B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6D4724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4F3135A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DE35CE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066F9D4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02F074D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DBF5F1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1AF6F9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B8F2E13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19ED0F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4C2914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674C480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47327E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00CEA51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129FDA4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986238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A0E8EF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26F60A4E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2EE761A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7D98FEF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717AC47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C8CE8-2CF4E-B4E70-5DD21-BBD4C ZU-Riga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0DCEF43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577B179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2844547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60685E6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1EFB3A3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F1C10F3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7F62B8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9EFAD2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0AD3BC3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7E76EA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048CE81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2CB18CA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26DE6F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3D436F9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FB052E7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52C31D1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240850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203D214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433A88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2CD4C17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84" w:type="dxa"/>
            <w:noWrap/>
            <w:hideMark/>
          </w:tcPr>
          <w:p w14:paraId="790EF98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E8871B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37F24B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C6DDF6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A693A4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1ED0E1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3E420B2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6B1C01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6C23EB2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39022AF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33704E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0C3A3C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37370481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5E21614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419D538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4B9A5C7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24AC4-66981-56381-DA6D8-71E21 ZU Jerevan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7BDA868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096759C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5CEB3F3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47E515B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3A7F0D8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28AA2CD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54B4AA7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31FD979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68AE34D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E2D9E3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371B0E0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23F5F3F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D9E1BC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59BBC1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993FC6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B948F6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0D4D4E3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69BE3CA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22A37C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68AB787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1539EBB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A13931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0BFE65C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0385188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D47E01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96C2A1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5598AC6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D1B77C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01D0327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2B2CD92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293391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501C6E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8192C9A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0B9C781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0CB6FDB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4" w:type="dxa"/>
            <w:noWrap/>
            <w:hideMark/>
          </w:tcPr>
          <w:p w14:paraId="6330400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D14D5A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51304538</w:t>
            </w:r>
          </w:p>
        </w:tc>
        <w:tc>
          <w:tcPr>
            <w:tcW w:w="1344" w:type="dxa"/>
            <w:noWrap/>
            <w:hideMark/>
          </w:tcPr>
          <w:p w14:paraId="3354AEA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52BCE76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4053C3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7E505B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0143EBC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8D0D1B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3E0ADF3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64" w:type="dxa"/>
            <w:noWrap/>
            <w:hideMark/>
          </w:tcPr>
          <w:p w14:paraId="4221B9C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2E1437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51304551</w:t>
            </w:r>
          </w:p>
        </w:tc>
        <w:tc>
          <w:tcPr>
            <w:tcW w:w="1344" w:type="dxa"/>
            <w:noWrap/>
            <w:hideMark/>
          </w:tcPr>
          <w:p w14:paraId="36E4FD5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09D81B1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2953B4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2108D9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2D4A582F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23B76F5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4F381E0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36E5A2F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20E6A-1177C-DA4A8-CD467-39822 ZU Tel Aviv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2AA2AE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753C06A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1AD90E3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1404098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79EDA7C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FE567A3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825C34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BC1BAE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522C4BF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86C36E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3A82F76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4D5A598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E29567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32E7564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9BE6EC4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EC5B87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1243C9B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4D9E225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698013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5072F81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65A3654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8719BC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972F21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A5314A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9AC2C3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D284F9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6E81E3A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807D71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2FD42BC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9A1677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00BDE3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25963B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7FB3F9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04B6AA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848A1A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4" w:type="dxa"/>
            <w:noWrap/>
            <w:hideMark/>
          </w:tcPr>
          <w:p w14:paraId="056D601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00C8B4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51304538</w:t>
            </w:r>
          </w:p>
        </w:tc>
        <w:tc>
          <w:tcPr>
            <w:tcW w:w="1344" w:type="dxa"/>
            <w:noWrap/>
            <w:hideMark/>
          </w:tcPr>
          <w:p w14:paraId="0C4807B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425D116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770B9E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0A9818C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7BE341A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CC27D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C476AE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64" w:type="dxa"/>
            <w:noWrap/>
            <w:hideMark/>
          </w:tcPr>
          <w:p w14:paraId="3ADDDD5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C80306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51304551</w:t>
            </w:r>
          </w:p>
        </w:tc>
        <w:tc>
          <w:tcPr>
            <w:tcW w:w="1344" w:type="dxa"/>
            <w:noWrap/>
            <w:hideMark/>
          </w:tcPr>
          <w:p w14:paraId="0CCD162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32D7245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299FF7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8EA343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4BA96EEC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585BBD8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5282ADB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7A4E74B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22384-5A5BB-CF2A2-7A71E-20ABD GK Mníchov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Survivable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Branch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Node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EE024F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67F5D54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5D046A5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0D71AD5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5D13622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299D73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E113E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426" w:type="dxa"/>
            <w:noWrap/>
            <w:hideMark/>
          </w:tcPr>
          <w:p w14:paraId="3689757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526D462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528344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326A954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3DECDC6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2D0CDB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5F718F7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2491AB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02E1628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1B8D5B7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18FB95B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6AB6D0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7981FCA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0AC5A5F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B7C1FA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3D8768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06181F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9921B3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52A22A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1C806A8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583EC0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31019AD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259EC21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689A45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9731E6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1946CBBF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47C313E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21E0645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3875E6A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AC9EE-0126F-E4F44-B6D2F-02684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Abu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Dhabi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ZU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1E1F2D8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2D21594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7369A63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31.3.2026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371B88F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3663447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C950C64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C03268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FEA794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513AE63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B9EB4E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728E00F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4CC7ECC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CD3819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920060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C70B007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D09593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AB009E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2E7930A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A4D081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783BE00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2C0F251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C0DEEF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D965CB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1FD2589D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7A1DCF8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64B0AB0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689E95D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01F2D-F23D1-DDABA-A5238-66A36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Taskent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ZU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6E758E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144B9E0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33F9ED7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26.3.2026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161721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105ECC5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8723D15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639E303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6AB814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3C8B1A1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F75D9E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27342C3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1790D22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9DC224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D1ACE8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D496A8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19E03E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608946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5231107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F50E2F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1D21149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84" w:type="dxa"/>
            <w:noWrap/>
            <w:hideMark/>
          </w:tcPr>
          <w:p w14:paraId="192001C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BF0309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884E4C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316D869C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74898F4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5C4A210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22E311F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4B486-E4F8F-E8C55-BA28E-16EC7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Mexico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7C342E0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78D7B15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05BA4F5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57835BA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656010B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B2C78B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51D1D18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95F42F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5698D64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061F00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0843501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196501C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3025E0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CDDFC8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F2CE66C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41EEF0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1C39E8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78A57E7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FF1FBA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014F9D0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6647859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0DC8AE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07C8D8A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48938894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38908FF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1CEF71D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28EFE62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0D038-4672D-B73A3-86447-A1379 Astana ZU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165E43B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39585E2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0E20F17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26.3.2026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20DCEA6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561A434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68E811B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5EEB7FC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0B92430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0522F4F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91C2D6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390780F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6FEA8F4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487FFB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06B119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6B7D0A9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03FBCBF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DCB9BF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372A39A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9F2920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19DA33D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6303E2F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7274DD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9E0F8D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253339F5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44CCBAD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7D287C9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1541307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65083-475FB-624EE-8B077-BD408 ZU Havana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00EDC75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3D05E4B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2625427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7E7299D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0D843D6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4977B27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9433AA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32EF46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1B6339C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8ABAA9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7CBCE20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5394CE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248836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2E5CA8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4DD01820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25C666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DD1521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7246F99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7E13F3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0743E1E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523E0D1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18A2C9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CDC630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47E7D240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433A64E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323D031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69ACBD7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C5EAF-04323-84808-D4A7E-156A5 ZU Baku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2EE0B0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2128C76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3475BFE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4.3.2026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2450282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3221708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2D56854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379B2D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0ECF014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366FECF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EE264B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4E3FC2E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F244D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EC44C6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3BB2BBA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8264DDA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601051F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D25E08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612271E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17992C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3001860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84" w:type="dxa"/>
            <w:noWrap/>
            <w:hideMark/>
          </w:tcPr>
          <w:p w14:paraId="4580C12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77E89A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C73F90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3C51765D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10856DC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69D12D0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18B864A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1244F-F98FE-B3BE2-FAD4A-1EBAD ZU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Kahira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74FABDC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524F43F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45EF88C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4.3.2026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115F855A" w14:textId="2799D23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188B8A9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349DB4F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C3692A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4A49B0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69DB781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239BC90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2A7BD8E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6C3BE03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0158BD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5A2029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7BCA2CA0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36F1CA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8A9DF1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17DF912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6D14AC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562FAA6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7DA9556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43F749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1699D7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449EED3F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161EED0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3B78564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12938E4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3D0AE-CC28A-0C12E-49C99-B7BB4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Uzhorod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GK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41C53BF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469B33B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4B1C1FB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10FA863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75FB4BF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43A86FA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000568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804BF0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79205F2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9EF5A8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1E717E9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0312E0A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641CA3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4F7DF3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97963C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6458FF2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5411A3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6D9684E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276114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4681857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71EA1AA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D0DF64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5BAEBC4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956CAC4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0F6AD4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326255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017CF83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24ACB7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7A6D6A2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528D52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2A8F76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7274A3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0D0D47E4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51AD904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0A83D94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7F33D74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F8307-77C44-50C16-23FD0-B36B1 ZU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Pretoria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02D5BD9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5CD82A8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6BE4EF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48CB1D1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33277DA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9285E13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518BBAD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88B88B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1C09DB8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137C9A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143FA59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68C08C3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DCFE53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B990A2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9AEB161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CADF75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8F58DE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0F52C37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7520BA0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038DF25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7797C6C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4B2B1B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65799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092C1502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0DD7869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2052489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0FB7692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BB9B3-A3634-B8024-9438E-D911F ZU Soul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0A49BB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49B1089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27A3DD5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31.3.2026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546FA4A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noWrap/>
            <w:hideMark/>
          </w:tcPr>
          <w:p w14:paraId="5A0B93A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8EE859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B2EAF1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8FEE1A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7523088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C0BD6F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4D43E37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4079CBC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B8B8E0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53D54CC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BC662AF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188E1C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B497D6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7D5CE5E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FEBE68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47F83B7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4" w:type="dxa"/>
            <w:noWrap/>
            <w:hideMark/>
          </w:tcPr>
          <w:p w14:paraId="190D028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327539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36BE40B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5E73ACE5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44C4AD1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48320DB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43444F8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9AA82-1B7BD-05496-22B0D-16171 ZU Ottawa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EAC2DD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1E682AC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1D3D4C8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53AD16F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3257696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6AE787F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6BCBF8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20CA54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1A2DDC6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6C6D310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33FFFDE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EBBEDF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AA50A4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8880ED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907C848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E5155B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151FC1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5140B11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9D64B5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6D154B3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64F2FAB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889C70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38A625E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5C3676F6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1A9B5E0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5574082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5F692AB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57AAD-47DA5-44B5C-521AB-7D536 ZU Washington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6099707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797BB2C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1987908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00C0897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7565C4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43B1373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07EB29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0795B13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14BCF9A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0C15D1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051E3A9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3BB766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9B9E6F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BDE8FA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28F46F5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9660BC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ADDB0F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05DA18D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1AF7E3A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32E50E3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4" w:type="dxa"/>
            <w:noWrap/>
            <w:hideMark/>
          </w:tcPr>
          <w:p w14:paraId="185FA66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87EB2E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FA11AD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C6DB646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DA1D5D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4961CE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1DDEF14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CDB0F3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4AE312A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044EBB6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B781D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A027C7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432B8DB4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57F67B7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25EC3F0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7339E5F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2A63B-79AC6-00548-285AC-52CB1 ZU-Minsk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0F386EC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02FEA2B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7DB5C2F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4.3.2026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410642B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28398EE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A554E34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8E81A2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7B40AD0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7B3BA5D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A56D68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3071627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08DA81F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1B980D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04902E8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8FD7DF1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5A5E8F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8E7684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1097709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1CC7F93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3EAFDBE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7B94774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9B18FE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7BEA5CF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4823ECB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5FD57D7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1C3AFBD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1DDB8CF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ABBCC3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51304538</w:t>
            </w:r>
          </w:p>
        </w:tc>
        <w:tc>
          <w:tcPr>
            <w:tcW w:w="1344" w:type="dxa"/>
            <w:noWrap/>
            <w:hideMark/>
          </w:tcPr>
          <w:p w14:paraId="6196A78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6BA5094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561EDF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08F207D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FFD4D28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53E17D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A25F67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4" w:type="dxa"/>
            <w:noWrap/>
            <w:hideMark/>
          </w:tcPr>
          <w:p w14:paraId="7D6C044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3ECC64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51304551</w:t>
            </w:r>
          </w:p>
        </w:tc>
        <w:tc>
          <w:tcPr>
            <w:tcW w:w="1344" w:type="dxa"/>
            <w:noWrap/>
            <w:hideMark/>
          </w:tcPr>
          <w:p w14:paraId="1D7E506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noWrap/>
            <w:hideMark/>
          </w:tcPr>
          <w:p w14:paraId="11DF606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1811E5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176A74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56C29BDB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0385A7A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397CE33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0725AE5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B42A1-C4579-3427B-AE9C6-DB86A SM New York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4B9F098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2F3CDDB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4D12FB1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6C36947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04EB6D0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222FAFB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02E1F3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3139194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768B559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A5E82E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76D1A39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637F0FA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C898F6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44F52A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7E2A9C9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2303440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F54A58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7D5E99E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1435B2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000BF8F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84" w:type="dxa"/>
            <w:noWrap/>
            <w:hideMark/>
          </w:tcPr>
          <w:p w14:paraId="665A54B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270296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3F020E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D55320B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3C593C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0DC26A1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766CF4C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Gateway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CF7833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51304530</w:t>
            </w:r>
          </w:p>
        </w:tc>
        <w:tc>
          <w:tcPr>
            <w:tcW w:w="1344" w:type="dxa"/>
            <w:noWrap/>
            <w:hideMark/>
          </w:tcPr>
          <w:p w14:paraId="4E7261E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15228AE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936707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8847A5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36B56D48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086DA7D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71CBABE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2D8EB8D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2CC10-4D9E7-FB66A-54D5A-86C0C MX-ONE MZV Bratislava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MX-ONE)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5756477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2400193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32D31D6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681CDA6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35F297C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13BFD022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692E41A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E990C4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4079594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A64112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51304499</w:t>
            </w:r>
          </w:p>
        </w:tc>
        <w:tc>
          <w:tcPr>
            <w:tcW w:w="1344" w:type="dxa"/>
            <w:noWrap/>
            <w:hideMark/>
          </w:tcPr>
          <w:p w14:paraId="3BF2DCC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6F0BE54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667B6B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3D9C0A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0D39E09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40A0748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6A43B0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4578AA3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TS Tel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412809A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51304512</w:t>
            </w:r>
          </w:p>
        </w:tc>
        <w:tc>
          <w:tcPr>
            <w:tcW w:w="1344" w:type="dxa"/>
            <w:noWrap/>
            <w:hideMark/>
          </w:tcPr>
          <w:p w14:paraId="3807328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1796</w:t>
            </w:r>
          </w:p>
        </w:tc>
        <w:tc>
          <w:tcPr>
            <w:tcW w:w="1284" w:type="dxa"/>
            <w:noWrap/>
            <w:hideMark/>
          </w:tcPr>
          <w:p w14:paraId="072AE76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3FBF2E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43A30A6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6BDE9FA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162A01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2FA3ECD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3EC0E7B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09853C0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51304538</w:t>
            </w:r>
          </w:p>
        </w:tc>
        <w:tc>
          <w:tcPr>
            <w:tcW w:w="1344" w:type="dxa"/>
            <w:noWrap/>
            <w:hideMark/>
          </w:tcPr>
          <w:p w14:paraId="575BCFD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842923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CF08A5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2F832B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85EBC4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5EC5D35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6649A14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4" w:type="dxa"/>
            <w:noWrap/>
            <w:hideMark/>
          </w:tcPr>
          <w:p w14:paraId="31BDC1A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MX Prov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Mgr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User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7BA930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51304551</w:t>
            </w:r>
          </w:p>
        </w:tc>
        <w:tc>
          <w:tcPr>
            <w:tcW w:w="1344" w:type="dxa"/>
            <w:noWrap/>
            <w:hideMark/>
          </w:tcPr>
          <w:p w14:paraId="2BA78DA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1796</w:t>
            </w:r>
          </w:p>
        </w:tc>
        <w:tc>
          <w:tcPr>
            <w:tcW w:w="1284" w:type="dxa"/>
            <w:noWrap/>
            <w:hideMark/>
          </w:tcPr>
          <w:p w14:paraId="55F2CB5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E6E8F0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52711C7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563BB94A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456ACE7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2D7F3B5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0514547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SYSID: 210000004852609 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MiCollab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MiCollab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77F94D9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32229D6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74FE5D4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16.6.2026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5D4E32B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1BFD0F2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65B7275C" w14:textId="77777777" w:rsidTr="00FA66F3">
        <w:trPr>
          <w:trHeight w:val="1309"/>
        </w:trPr>
        <w:tc>
          <w:tcPr>
            <w:tcW w:w="1129" w:type="dxa"/>
            <w:noWrap/>
            <w:hideMark/>
          </w:tcPr>
          <w:p w14:paraId="4C402F7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569AB1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hideMark/>
          </w:tcPr>
          <w:p w14:paraId="51D485E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SWA MX-ONE UC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Advantage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pre 495 x UCCv4.0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Basic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Stnd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for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MiVoice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MX-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One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pre 1 x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MiCollab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Virtual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Appliance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br/>
              <w:t>pre 1 x MBG</w:t>
            </w:r>
          </w:p>
        </w:tc>
        <w:tc>
          <w:tcPr>
            <w:tcW w:w="1771" w:type="dxa"/>
            <w:noWrap/>
            <w:hideMark/>
          </w:tcPr>
          <w:p w14:paraId="61223A9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54012543</w:t>
            </w:r>
          </w:p>
        </w:tc>
        <w:tc>
          <w:tcPr>
            <w:tcW w:w="1344" w:type="dxa"/>
            <w:noWrap/>
            <w:hideMark/>
          </w:tcPr>
          <w:p w14:paraId="792DE7B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11EB71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2639B6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024D2CA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2AF27E8F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3E6DD7B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16F8F8B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686A8CF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Apresa-4201805264662060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5AB010E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2F84D72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163E518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31.7.2026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6FCA6C8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43B251A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23A003D0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3EDEB1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960EBE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2647FF1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Apresa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Support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Upgrades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annual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fee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31242A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092.04695 </w:t>
            </w:r>
          </w:p>
        </w:tc>
        <w:tc>
          <w:tcPr>
            <w:tcW w:w="1344" w:type="dxa"/>
            <w:noWrap/>
            <w:hideMark/>
          </w:tcPr>
          <w:p w14:paraId="5E9452C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7B380F5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0B0F97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05EE5B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FA66F3" w:rsidRPr="00D17821" w14:paraId="51F695D9" w14:textId="77777777" w:rsidTr="00FA66F3">
        <w:trPr>
          <w:trHeight w:val="398"/>
        </w:trPr>
        <w:tc>
          <w:tcPr>
            <w:tcW w:w="1129" w:type="dxa"/>
            <w:shd w:val="clear" w:color="auto" w:fill="D9D9D9" w:themeFill="background1" w:themeFillShade="D9"/>
            <w:noWrap/>
            <w:hideMark/>
          </w:tcPr>
          <w:p w14:paraId="4CBF03F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1426" w:type="dxa"/>
            <w:shd w:val="clear" w:color="auto" w:fill="D9D9D9" w:themeFill="background1" w:themeFillShade="D9"/>
            <w:noWrap/>
            <w:hideMark/>
          </w:tcPr>
          <w:p w14:paraId="5708574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64" w:type="dxa"/>
            <w:shd w:val="clear" w:color="auto" w:fill="D9D9D9" w:themeFill="background1" w:themeFillShade="D9"/>
            <w:noWrap/>
            <w:hideMark/>
          </w:tcPr>
          <w:p w14:paraId="76080C6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SYSID: SEC-10706-58EC0E7E5419AA1 (</w:t>
            </w:r>
            <w:proofErr w:type="spellStart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MiCC</w:t>
            </w:r>
            <w:proofErr w:type="spellEnd"/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Enterprise SME)</w:t>
            </w:r>
          </w:p>
        </w:tc>
        <w:tc>
          <w:tcPr>
            <w:tcW w:w="1771" w:type="dxa"/>
            <w:shd w:val="clear" w:color="auto" w:fill="D9D9D9" w:themeFill="background1" w:themeFillShade="D9"/>
            <w:noWrap/>
            <w:hideMark/>
          </w:tcPr>
          <w:p w14:paraId="2DD01F8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hideMark/>
          </w:tcPr>
          <w:p w14:paraId="2455ADA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shd w:val="clear" w:color="auto" w:fill="D9D9D9" w:themeFill="background1" w:themeFillShade="D9"/>
            <w:noWrap/>
            <w:hideMark/>
          </w:tcPr>
          <w:p w14:paraId="05F3709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26.8.2026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67339FB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30.4.2027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hideMark/>
          </w:tcPr>
          <w:p w14:paraId="4283B65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A217ECE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7BDF7DC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47E9DE6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64" w:type="dxa"/>
            <w:noWrap/>
            <w:hideMark/>
          </w:tcPr>
          <w:p w14:paraId="72056FB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Ent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System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559C24C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54007089</w:t>
            </w:r>
          </w:p>
        </w:tc>
        <w:tc>
          <w:tcPr>
            <w:tcW w:w="1344" w:type="dxa"/>
            <w:noWrap/>
            <w:hideMark/>
          </w:tcPr>
          <w:p w14:paraId="623B1FC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hideMark/>
          </w:tcPr>
          <w:p w14:paraId="113F3EC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258538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518A1A5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5077A3C4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320A80B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7F82107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4" w:type="dxa"/>
            <w:noWrap/>
            <w:hideMark/>
          </w:tcPr>
          <w:p w14:paraId="6517E6C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MiCCEnt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Lite Agent 1Y</w:t>
            </w:r>
          </w:p>
        </w:tc>
        <w:tc>
          <w:tcPr>
            <w:tcW w:w="1771" w:type="dxa"/>
            <w:noWrap/>
            <w:hideMark/>
          </w:tcPr>
          <w:p w14:paraId="60FC527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54007101</w:t>
            </w:r>
          </w:p>
        </w:tc>
        <w:tc>
          <w:tcPr>
            <w:tcW w:w="1344" w:type="dxa"/>
            <w:noWrap/>
            <w:hideMark/>
          </w:tcPr>
          <w:p w14:paraId="4AF40BE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84" w:type="dxa"/>
            <w:noWrap/>
            <w:hideMark/>
          </w:tcPr>
          <w:p w14:paraId="0F7955A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CD73B50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80B318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7B82FA1D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18D277F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5D51D9F5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64" w:type="dxa"/>
            <w:noWrap/>
            <w:hideMark/>
          </w:tcPr>
          <w:p w14:paraId="28237CE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MiCCEnt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Mngt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User 1y</w:t>
            </w:r>
          </w:p>
        </w:tc>
        <w:tc>
          <w:tcPr>
            <w:tcW w:w="1771" w:type="dxa"/>
            <w:noWrap/>
            <w:hideMark/>
          </w:tcPr>
          <w:p w14:paraId="747C394E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54007110</w:t>
            </w:r>
          </w:p>
        </w:tc>
        <w:tc>
          <w:tcPr>
            <w:tcW w:w="1344" w:type="dxa"/>
            <w:noWrap/>
            <w:hideMark/>
          </w:tcPr>
          <w:p w14:paraId="5CAF61C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4" w:type="dxa"/>
            <w:noWrap/>
            <w:hideMark/>
          </w:tcPr>
          <w:p w14:paraId="4F47775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3BA599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1F0AC70D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3F3785F7" w14:textId="77777777" w:rsidTr="00FA66F3">
        <w:trPr>
          <w:trHeight w:val="398"/>
        </w:trPr>
        <w:tc>
          <w:tcPr>
            <w:tcW w:w="1129" w:type="dxa"/>
            <w:noWrap/>
            <w:hideMark/>
          </w:tcPr>
          <w:p w14:paraId="6AC213C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327ECDF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4" w:type="dxa"/>
            <w:noWrap/>
            <w:hideMark/>
          </w:tcPr>
          <w:p w14:paraId="45B0F19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Adv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SWA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MiCC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Ent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IVR </w:t>
            </w:r>
            <w:proofErr w:type="spellStart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Sess</w:t>
            </w:r>
            <w:proofErr w:type="spellEnd"/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 xml:space="preserve"> 1y</w:t>
            </w:r>
          </w:p>
        </w:tc>
        <w:tc>
          <w:tcPr>
            <w:tcW w:w="1771" w:type="dxa"/>
            <w:noWrap/>
            <w:hideMark/>
          </w:tcPr>
          <w:p w14:paraId="30314523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54007117</w:t>
            </w:r>
          </w:p>
        </w:tc>
        <w:tc>
          <w:tcPr>
            <w:tcW w:w="1344" w:type="dxa"/>
            <w:noWrap/>
            <w:hideMark/>
          </w:tcPr>
          <w:p w14:paraId="6D361F49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84" w:type="dxa"/>
            <w:noWrap/>
            <w:hideMark/>
          </w:tcPr>
          <w:p w14:paraId="505B2FF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54C586B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6CE8EF76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D17821" w:rsidRPr="00D17821" w14:paraId="08BBF5FD" w14:textId="77777777" w:rsidTr="00FA66F3">
        <w:trPr>
          <w:trHeight w:val="1245"/>
        </w:trPr>
        <w:tc>
          <w:tcPr>
            <w:tcW w:w="1129" w:type="dxa"/>
            <w:noWrap/>
            <w:hideMark/>
          </w:tcPr>
          <w:p w14:paraId="501B378F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14:paraId="3F2F5931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64" w:type="dxa"/>
            <w:noWrap/>
            <w:hideMark/>
          </w:tcPr>
          <w:p w14:paraId="167D8A64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hideMark/>
          </w:tcPr>
          <w:p w14:paraId="6932CCC8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Spolu bez DPH:</w:t>
            </w:r>
          </w:p>
        </w:tc>
        <w:tc>
          <w:tcPr>
            <w:tcW w:w="1344" w:type="dxa"/>
            <w:noWrap/>
            <w:hideMark/>
          </w:tcPr>
          <w:p w14:paraId="5CE7062C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4" w:type="dxa"/>
            <w:noWrap/>
            <w:hideMark/>
          </w:tcPr>
          <w:p w14:paraId="25E4A6F2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FE5470A" w14:textId="77777777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82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48" w:type="dxa"/>
            <w:noWrap/>
            <w:hideMark/>
          </w:tcPr>
          <w:p w14:paraId="29E31C28" w14:textId="6773029A" w:rsidR="00D17821" w:rsidRPr="00D17821" w:rsidRDefault="00D17821" w:rsidP="00D17821">
            <w:pPr>
              <w:tabs>
                <w:tab w:val="left" w:pos="496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A5E1CA0" w14:textId="77777777" w:rsidR="00324E46" w:rsidRDefault="00324E46" w:rsidP="007B1FC7">
      <w:pP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sectPr w:rsidR="00324E46" w:rsidSect="007B1FC7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84B9" w14:textId="77777777" w:rsidR="00B15064" w:rsidRDefault="00B15064">
      <w:pPr>
        <w:spacing w:after="0" w:line="240" w:lineRule="auto"/>
      </w:pPr>
      <w:r>
        <w:separator/>
      </w:r>
    </w:p>
  </w:endnote>
  <w:endnote w:type="continuationSeparator" w:id="0">
    <w:p w14:paraId="56194BA2" w14:textId="77777777" w:rsidR="00B15064" w:rsidRDefault="00B1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19D1" w14:textId="77777777" w:rsidR="00B15064" w:rsidRDefault="00B15064">
      <w:pPr>
        <w:spacing w:after="0" w:line="240" w:lineRule="auto"/>
      </w:pPr>
      <w:r>
        <w:separator/>
      </w:r>
    </w:p>
  </w:footnote>
  <w:footnote w:type="continuationSeparator" w:id="0">
    <w:p w14:paraId="5137434C" w14:textId="77777777" w:rsidR="00B15064" w:rsidRDefault="00B1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2FD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1810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3407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4E46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16"/>
    <w:rsid w:val="004647E2"/>
    <w:rsid w:val="00465D61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118D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573F9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27BAC"/>
    <w:rsid w:val="00631A9C"/>
    <w:rsid w:val="0063297D"/>
    <w:rsid w:val="00633E74"/>
    <w:rsid w:val="006341FA"/>
    <w:rsid w:val="006349C1"/>
    <w:rsid w:val="00634AC7"/>
    <w:rsid w:val="006357F9"/>
    <w:rsid w:val="0063607F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5F67"/>
    <w:rsid w:val="00666854"/>
    <w:rsid w:val="00667D9E"/>
    <w:rsid w:val="0067169B"/>
    <w:rsid w:val="0067246B"/>
    <w:rsid w:val="00672E44"/>
    <w:rsid w:val="00673C78"/>
    <w:rsid w:val="00675800"/>
    <w:rsid w:val="00677D21"/>
    <w:rsid w:val="00677FD2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3C9A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1FC7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77B1B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38A7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69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5064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6BA9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3DFB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17821"/>
    <w:rsid w:val="00D220F4"/>
    <w:rsid w:val="00D263B6"/>
    <w:rsid w:val="00D309AE"/>
    <w:rsid w:val="00D309B7"/>
    <w:rsid w:val="00D348DB"/>
    <w:rsid w:val="00D34CEB"/>
    <w:rsid w:val="00D35CBC"/>
    <w:rsid w:val="00D43C6F"/>
    <w:rsid w:val="00D44580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5B5"/>
    <w:rsid w:val="00D852EB"/>
    <w:rsid w:val="00D86AA6"/>
    <w:rsid w:val="00D873B2"/>
    <w:rsid w:val="00D908F9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3AD6"/>
    <w:rsid w:val="00DD6E2D"/>
    <w:rsid w:val="00DE013D"/>
    <w:rsid w:val="00DE32F0"/>
    <w:rsid w:val="00DE61CA"/>
    <w:rsid w:val="00DF193C"/>
    <w:rsid w:val="00DF25BC"/>
    <w:rsid w:val="00DF3DCE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0282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66F3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7B1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7B1FC7"/>
    <w:rPr>
      <w:color w:val="96607D"/>
      <w:u w:val="single"/>
    </w:rPr>
  </w:style>
  <w:style w:type="paragraph" w:customStyle="1" w:styleId="msonormal0">
    <w:name w:val="msonormal"/>
    <w:basedOn w:val="Normlny"/>
    <w:rsid w:val="007B1F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customStyle="1" w:styleId="xl67">
    <w:name w:val="xl67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7B1FC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7B1F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E94B3" w:fill="5E94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customStyle="1" w:styleId="xl78">
    <w:name w:val="xl78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xl79">
    <w:name w:val="xl79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xl80">
    <w:name w:val="xl80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81">
    <w:name w:val="xl81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85">
    <w:name w:val="xl85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86">
    <w:name w:val="xl86"/>
    <w:basedOn w:val="Normlny"/>
    <w:rsid w:val="007B1F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E94B3" w:fill="5E94B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sk-SK"/>
    </w:rPr>
  </w:style>
  <w:style w:type="paragraph" w:customStyle="1" w:styleId="xl89">
    <w:name w:val="xl89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sk-SK"/>
    </w:rPr>
  </w:style>
  <w:style w:type="paragraph" w:customStyle="1" w:styleId="xl90">
    <w:name w:val="xl90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sk-SK"/>
    </w:rPr>
  </w:style>
  <w:style w:type="paragraph" w:customStyle="1" w:styleId="xl91">
    <w:name w:val="xl91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customStyle="1" w:styleId="xl92">
    <w:name w:val="xl92"/>
    <w:basedOn w:val="Normlny"/>
    <w:rsid w:val="007B1F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xl96">
    <w:name w:val="xl96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sk-SK"/>
    </w:rPr>
  </w:style>
  <w:style w:type="paragraph" w:customStyle="1" w:styleId="xl97">
    <w:name w:val="xl97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7B1F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F0C8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D17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6770</Words>
  <Characters>38595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2026-04-20T08:49:00Z</dcterms:created>
  <dcterms:modified xsi:type="dcterms:W3CDTF">2026-04-24T08:34:00Z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