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4D18834B"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C513F2">
        <w:rPr>
          <w:rFonts w:cs="Arial"/>
          <w:szCs w:val="20"/>
        </w:rPr>
        <w:t xml:space="preserve">, </w:t>
      </w:r>
      <w:r w:rsidR="006C0AC7" w:rsidRPr="00B90429">
        <w:rPr>
          <w:rFonts w:cs="Arial"/>
          <w:szCs w:val="20"/>
        </w:rPr>
        <w:t xml:space="preserve"> </w:t>
      </w:r>
      <w:r w:rsidR="00A6776B" w:rsidRPr="00A6776B">
        <w:rPr>
          <w:rFonts w:cs="Arial"/>
          <w:szCs w:val="20"/>
        </w:rPr>
        <w:t>LS Stará Voda, Smolník, Jasov, ES Mníšek</w:t>
      </w:r>
      <w:r w:rsidR="00087DAD" w:rsidRPr="00B90429">
        <w:rPr>
          <w:rFonts w:cs="Arial"/>
          <w:szCs w:val="20"/>
        </w:rPr>
        <w:t xml:space="preserve"> – časť A - výzva č. </w:t>
      </w:r>
      <w:r w:rsidR="0048775A">
        <w:rPr>
          <w:rFonts w:cs="Arial"/>
          <w:szCs w:val="20"/>
        </w:rPr>
        <w:t>4</w:t>
      </w:r>
      <w:r w:rsidR="00A6776B">
        <w:rPr>
          <w:rFonts w:cs="Arial"/>
          <w:szCs w:val="20"/>
        </w:rPr>
        <w:t>4</w:t>
      </w:r>
      <w:r w:rsidR="0099463A">
        <w:rPr>
          <w:rFonts w:cs="Arial"/>
          <w:szCs w:val="20"/>
        </w:rPr>
        <w:t>/</w:t>
      </w:r>
      <w:r w:rsidRPr="00B90429">
        <w:rPr>
          <w:rFonts w:cs="Arial"/>
          <w:szCs w:val="20"/>
        </w:rPr>
        <w:t>/202</w:t>
      </w:r>
      <w:r w:rsidR="0048775A">
        <w:rPr>
          <w:rFonts w:cs="Arial"/>
          <w:szCs w:val="20"/>
        </w:rPr>
        <w:t>6</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r w:rsidRPr="00913550">
              <w:rPr>
                <w:rFonts w:cs="Arial"/>
                <w:szCs w:val="20"/>
              </w:rPr>
              <w:t>Ing.Martina Manková,mobil:0918335894,e-mail:martina.mankova@lesy.sk</w:t>
            </w:r>
          </w:p>
        </w:tc>
      </w:tr>
      <w:tr w:rsidR="005337B7" w:rsidRPr="00B90429" w14:paraId="030652DF" w14:textId="77777777" w:rsidTr="00480F32">
        <w:tc>
          <w:tcPr>
            <w:tcW w:w="9210" w:type="dxa"/>
            <w:gridSpan w:val="2"/>
            <w:tcBorders>
              <w:top w:val="nil"/>
              <w:bottom w:val="nil"/>
              <w:right w:val="nil"/>
            </w:tcBorders>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A6776B" w:rsidRPr="00760A9B" w14:paraId="6C4DBAD7" w14:textId="77777777" w:rsidTr="00510941">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769D26E" w14:textId="2771B92F" w:rsidR="00A6776B" w:rsidRPr="00760A9B" w:rsidRDefault="00A6776B" w:rsidP="00A6776B">
            <w:pPr>
              <w:spacing w:after="0"/>
              <w:rPr>
                <w:rFonts w:ascii="Calibri" w:hAnsi="Calibri" w:cs="Calibri"/>
                <w:color w:val="000000"/>
                <w:sz w:val="22"/>
                <w:szCs w:val="22"/>
              </w:rPr>
            </w:pPr>
            <w:r>
              <w:rPr>
                <w:rFonts w:ascii="Calibri" w:hAnsi="Calibri" w:cs="Calibri"/>
                <w:color w:val="000000"/>
                <w:sz w:val="22"/>
                <w:szCs w:val="22"/>
              </w:rPr>
              <w:t>OZ Východ (LS Stará Voda, Smolník, Jasov, ES Mníšek)</w:t>
            </w:r>
          </w:p>
        </w:tc>
        <w:tc>
          <w:tcPr>
            <w:tcW w:w="1809" w:type="dxa"/>
            <w:tcBorders>
              <w:top w:val="single" w:sz="4" w:space="0" w:color="auto"/>
              <w:left w:val="nil"/>
              <w:bottom w:val="single" w:sz="4" w:space="0" w:color="auto"/>
              <w:right w:val="single" w:sz="4" w:space="0" w:color="auto"/>
            </w:tcBorders>
            <w:vAlign w:val="center"/>
            <w:hideMark/>
          </w:tcPr>
          <w:p w14:paraId="61BAB7C6" w14:textId="56D99D71" w:rsidR="00A6776B" w:rsidRPr="00760A9B" w:rsidRDefault="00A6776B" w:rsidP="00A6776B">
            <w:pPr>
              <w:spacing w:after="0"/>
              <w:jc w:val="center"/>
              <w:rPr>
                <w:rFonts w:cs="Arial"/>
                <w:szCs w:val="20"/>
              </w:rPr>
            </w:pPr>
            <w:r>
              <w:rPr>
                <w:rFonts w:cs="Arial"/>
                <w:szCs w:val="20"/>
              </w:rPr>
              <w:t>0 - 63</w:t>
            </w:r>
          </w:p>
        </w:tc>
        <w:tc>
          <w:tcPr>
            <w:tcW w:w="2727" w:type="dxa"/>
            <w:tcBorders>
              <w:top w:val="single" w:sz="4" w:space="0" w:color="auto"/>
              <w:left w:val="nil"/>
              <w:bottom w:val="single" w:sz="4" w:space="0" w:color="auto"/>
              <w:right w:val="single" w:sz="4" w:space="0" w:color="auto"/>
            </w:tcBorders>
            <w:vAlign w:val="center"/>
            <w:hideMark/>
          </w:tcPr>
          <w:p w14:paraId="532923C2" w14:textId="5F8111F6" w:rsidR="00A6776B" w:rsidRPr="00760A9B" w:rsidRDefault="00A6776B" w:rsidP="00A6776B">
            <w:pPr>
              <w:spacing w:after="0"/>
              <w:jc w:val="center"/>
              <w:rPr>
                <w:rFonts w:cs="Arial"/>
                <w:szCs w:val="20"/>
              </w:rPr>
            </w:pPr>
            <w:r>
              <w:rPr>
                <w:rFonts w:cs="Arial"/>
                <w:szCs w:val="20"/>
              </w:rPr>
              <w:t>700</w:t>
            </w:r>
          </w:p>
        </w:tc>
      </w:tr>
      <w:tr w:rsidR="00A6776B" w:rsidRPr="00760A9B" w14:paraId="14574491"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54B579F5" w:rsidR="00A6776B" w:rsidRPr="00760A9B" w:rsidRDefault="00A6776B" w:rsidP="00A6776B">
            <w:pPr>
              <w:spacing w:after="0"/>
              <w:rPr>
                <w:rFonts w:ascii="Calibri" w:hAnsi="Calibri" w:cs="Calibri"/>
                <w:color w:val="000000"/>
                <w:sz w:val="22"/>
                <w:szCs w:val="22"/>
              </w:rPr>
            </w:pPr>
            <w:r>
              <w:rPr>
                <w:rFonts w:ascii="Calibri" w:hAnsi="Calibri" w:cs="Calibri"/>
                <w:color w:val="000000"/>
                <w:sz w:val="22"/>
                <w:szCs w:val="22"/>
              </w:rPr>
              <w:t>OZ Východ (LS Stará Voda, Smolník, Jasov, ES Mníšek)</w:t>
            </w:r>
          </w:p>
        </w:tc>
        <w:tc>
          <w:tcPr>
            <w:tcW w:w="1809" w:type="dxa"/>
            <w:tcBorders>
              <w:top w:val="nil"/>
              <w:left w:val="nil"/>
              <w:bottom w:val="single" w:sz="4" w:space="0" w:color="auto"/>
              <w:right w:val="single" w:sz="4" w:space="0" w:color="auto"/>
            </w:tcBorders>
            <w:vAlign w:val="center"/>
            <w:hideMark/>
          </w:tcPr>
          <w:p w14:paraId="61297623" w14:textId="1AF805CD" w:rsidR="00A6776B" w:rsidRPr="00760A9B" w:rsidRDefault="00A6776B" w:rsidP="00A6776B">
            <w:pPr>
              <w:spacing w:after="0"/>
              <w:jc w:val="center"/>
              <w:rPr>
                <w:rFonts w:cs="Arial"/>
                <w:szCs w:val="20"/>
              </w:rPr>
            </w:pPr>
            <w:r>
              <w:rPr>
                <w:rFonts w:cs="Arial"/>
                <w:szCs w:val="20"/>
              </w:rPr>
              <w:t>0 - 32</w:t>
            </w:r>
          </w:p>
        </w:tc>
        <w:tc>
          <w:tcPr>
            <w:tcW w:w="2727" w:type="dxa"/>
            <w:tcBorders>
              <w:top w:val="nil"/>
              <w:left w:val="nil"/>
              <w:bottom w:val="single" w:sz="4" w:space="0" w:color="auto"/>
              <w:right w:val="single" w:sz="4" w:space="0" w:color="auto"/>
            </w:tcBorders>
            <w:vAlign w:val="center"/>
            <w:hideMark/>
          </w:tcPr>
          <w:p w14:paraId="0EA613EE" w14:textId="6E715184" w:rsidR="00A6776B" w:rsidRPr="00760A9B" w:rsidRDefault="00A6776B" w:rsidP="00A6776B">
            <w:pPr>
              <w:spacing w:after="0"/>
              <w:jc w:val="center"/>
              <w:rPr>
                <w:rFonts w:cs="Arial"/>
                <w:szCs w:val="20"/>
              </w:rPr>
            </w:pPr>
            <w:r>
              <w:rPr>
                <w:rFonts w:cs="Arial"/>
                <w:szCs w:val="20"/>
              </w:rPr>
              <w:t>1000</w:t>
            </w:r>
          </w:p>
        </w:tc>
      </w:tr>
      <w:tr w:rsidR="00A6776B" w:rsidRPr="00760A9B" w14:paraId="4D2BF1CA" w14:textId="77777777" w:rsidTr="00607529">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2EE1D81" w14:textId="2215156B" w:rsidR="00A6776B" w:rsidRPr="00760A9B" w:rsidRDefault="00A6776B" w:rsidP="00A6776B">
            <w:pPr>
              <w:spacing w:after="0"/>
              <w:rPr>
                <w:rFonts w:ascii="Calibri" w:hAnsi="Calibri" w:cs="Calibri"/>
                <w:color w:val="000000"/>
                <w:sz w:val="22"/>
                <w:szCs w:val="22"/>
              </w:rPr>
            </w:pPr>
            <w:r>
              <w:rPr>
                <w:rFonts w:ascii="Calibri" w:hAnsi="Calibri" w:cs="Calibri"/>
                <w:color w:val="000000"/>
                <w:sz w:val="22"/>
                <w:szCs w:val="22"/>
              </w:rPr>
              <w:t>OZ Východ (LS Stará Voda, Smolník, Jasov, ES Mníšek)</w:t>
            </w:r>
          </w:p>
        </w:tc>
        <w:tc>
          <w:tcPr>
            <w:tcW w:w="1809" w:type="dxa"/>
            <w:tcBorders>
              <w:top w:val="nil"/>
              <w:left w:val="nil"/>
              <w:bottom w:val="single" w:sz="4" w:space="0" w:color="auto"/>
              <w:right w:val="single" w:sz="4" w:space="0" w:color="auto"/>
            </w:tcBorders>
            <w:noWrap/>
            <w:vAlign w:val="center"/>
            <w:hideMark/>
          </w:tcPr>
          <w:p w14:paraId="33EECBDC" w14:textId="39FEE8C9" w:rsidR="00A6776B" w:rsidRPr="00760A9B" w:rsidRDefault="00A6776B" w:rsidP="00A6776B">
            <w:pPr>
              <w:spacing w:after="0"/>
              <w:jc w:val="center"/>
              <w:rPr>
                <w:rFonts w:cs="Arial"/>
                <w:szCs w:val="20"/>
              </w:rPr>
            </w:pPr>
            <w:r>
              <w:rPr>
                <w:rFonts w:cs="Arial"/>
                <w:szCs w:val="20"/>
              </w:rPr>
              <w:t>8 - 16</w:t>
            </w:r>
          </w:p>
        </w:tc>
        <w:tc>
          <w:tcPr>
            <w:tcW w:w="2727" w:type="dxa"/>
            <w:tcBorders>
              <w:top w:val="nil"/>
              <w:left w:val="nil"/>
              <w:bottom w:val="single" w:sz="4" w:space="0" w:color="auto"/>
              <w:right w:val="single" w:sz="4" w:space="0" w:color="auto"/>
            </w:tcBorders>
            <w:noWrap/>
            <w:vAlign w:val="center"/>
            <w:hideMark/>
          </w:tcPr>
          <w:p w14:paraId="6B0F8346" w14:textId="2A9C0567" w:rsidR="00A6776B" w:rsidRPr="00760A9B" w:rsidRDefault="00A6776B" w:rsidP="00A6776B">
            <w:pPr>
              <w:spacing w:after="0"/>
              <w:jc w:val="center"/>
              <w:rPr>
                <w:rFonts w:ascii="Calibri" w:hAnsi="Calibri" w:cs="Calibri"/>
                <w:color w:val="000000"/>
                <w:sz w:val="22"/>
                <w:szCs w:val="22"/>
              </w:rPr>
            </w:pPr>
            <w:r>
              <w:rPr>
                <w:rFonts w:cs="Arial"/>
                <w:szCs w:val="20"/>
              </w:rPr>
              <w:t>400</w:t>
            </w:r>
          </w:p>
        </w:tc>
      </w:tr>
      <w:tr w:rsidR="00A6776B" w:rsidRPr="00760A9B" w14:paraId="6F4FC2C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29E7B8D0" w14:textId="01201B4F" w:rsidR="00A6776B" w:rsidRPr="00760A9B" w:rsidRDefault="00A6776B" w:rsidP="00A6776B">
            <w:pPr>
              <w:spacing w:after="0"/>
              <w:rPr>
                <w:rFonts w:ascii="Calibri" w:hAnsi="Calibri" w:cs="Calibri"/>
                <w:color w:val="000000"/>
                <w:sz w:val="22"/>
                <w:szCs w:val="22"/>
              </w:rPr>
            </w:pPr>
            <w:r>
              <w:rPr>
                <w:rFonts w:ascii="Calibri" w:hAnsi="Calibri" w:cs="Calibri"/>
                <w:color w:val="000000"/>
                <w:sz w:val="22"/>
                <w:szCs w:val="22"/>
              </w:rPr>
              <w:t>OZ Východ (LS Stará Voda, Smolník, Jasov, ES Mníšek)</w:t>
            </w:r>
          </w:p>
        </w:tc>
        <w:tc>
          <w:tcPr>
            <w:tcW w:w="1809" w:type="dxa"/>
            <w:tcBorders>
              <w:top w:val="nil"/>
              <w:left w:val="nil"/>
              <w:bottom w:val="single" w:sz="4" w:space="0" w:color="auto"/>
              <w:right w:val="single" w:sz="4" w:space="0" w:color="auto"/>
            </w:tcBorders>
            <w:noWrap/>
            <w:vAlign w:val="bottom"/>
            <w:hideMark/>
          </w:tcPr>
          <w:p w14:paraId="39A9C2A7" w14:textId="53615C3A" w:rsidR="00A6776B" w:rsidRPr="00760A9B" w:rsidRDefault="00A6776B" w:rsidP="00A6776B">
            <w:pPr>
              <w:spacing w:after="0"/>
              <w:jc w:val="center"/>
              <w:rPr>
                <w:rFonts w:cs="Arial"/>
                <w:szCs w:val="20"/>
              </w:rPr>
            </w:pPr>
            <w:r>
              <w:rPr>
                <w:rFonts w:cs="Arial"/>
                <w:szCs w:val="20"/>
              </w:rPr>
              <w:t>32 - 63</w:t>
            </w:r>
          </w:p>
        </w:tc>
        <w:tc>
          <w:tcPr>
            <w:tcW w:w="2727" w:type="dxa"/>
            <w:tcBorders>
              <w:top w:val="nil"/>
              <w:left w:val="nil"/>
              <w:bottom w:val="single" w:sz="4" w:space="0" w:color="auto"/>
              <w:right w:val="single" w:sz="4" w:space="0" w:color="auto"/>
            </w:tcBorders>
            <w:noWrap/>
            <w:vAlign w:val="bottom"/>
            <w:hideMark/>
          </w:tcPr>
          <w:p w14:paraId="409D5842" w14:textId="20C23B7C" w:rsidR="00A6776B" w:rsidRPr="00760A9B" w:rsidRDefault="00A6776B" w:rsidP="00A6776B">
            <w:pPr>
              <w:spacing w:after="0"/>
              <w:jc w:val="center"/>
              <w:rPr>
                <w:rFonts w:ascii="Calibri" w:hAnsi="Calibri" w:cs="Calibri"/>
                <w:color w:val="000000"/>
                <w:sz w:val="22"/>
                <w:szCs w:val="22"/>
              </w:rPr>
            </w:pPr>
            <w:r>
              <w:rPr>
                <w:rFonts w:ascii="Calibri" w:hAnsi="Calibri" w:cs="Calibri"/>
                <w:color w:val="000000"/>
                <w:sz w:val="22"/>
                <w:szCs w:val="22"/>
              </w:rPr>
              <w:t>700</w:t>
            </w:r>
          </w:p>
        </w:tc>
      </w:tr>
      <w:tr w:rsidR="00A6776B" w:rsidRPr="00760A9B" w14:paraId="3626CA0E"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1F02E39" w14:textId="3CFB4454" w:rsidR="00A6776B" w:rsidRPr="00760A9B" w:rsidRDefault="00A6776B" w:rsidP="00A6776B">
            <w:pPr>
              <w:spacing w:after="0"/>
              <w:rPr>
                <w:rFonts w:ascii="Calibri" w:hAnsi="Calibri" w:cs="Calibri"/>
                <w:color w:val="000000"/>
                <w:sz w:val="22"/>
                <w:szCs w:val="22"/>
              </w:rPr>
            </w:pPr>
            <w:r>
              <w:rPr>
                <w:rFonts w:ascii="Calibri" w:hAnsi="Calibri" w:cs="Calibri"/>
                <w:color w:val="000000"/>
                <w:sz w:val="22"/>
                <w:szCs w:val="22"/>
              </w:rPr>
              <w:t>OZ Východ (LS Stará Voda, Smolník, Jasov, ES Mníšek)</w:t>
            </w:r>
          </w:p>
        </w:tc>
        <w:tc>
          <w:tcPr>
            <w:tcW w:w="1809" w:type="dxa"/>
            <w:tcBorders>
              <w:top w:val="nil"/>
              <w:left w:val="nil"/>
              <w:bottom w:val="single" w:sz="4" w:space="0" w:color="auto"/>
              <w:right w:val="nil"/>
            </w:tcBorders>
            <w:noWrap/>
            <w:vAlign w:val="bottom"/>
            <w:hideMark/>
          </w:tcPr>
          <w:p w14:paraId="562A2A21" w14:textId="55584C8D" w:rsidR="00A6776B" w:rsidRPr="00760A9B" w:rsidRDefault="00A6776B" w:rsidP="00A6776B">
            <w:pPr>
              <w:spacing w:after="0"/>
              <w:jc w:val="center"/>
              <w:rPr>
                <w:rFonts w:cs="Arial"/>
                <w:szCs w:val="20"/>
              </w:rPr>
            </w:pPr>
            <w:r>
              <w:rPr>
                <w:rFonts w:cs="Arial"/>
                <w:szCs w:val="20"/>
              </w:rPr>
              <w:t>63 -120</w:t>
            </w:r>
          </w:p>
        </w:tc>
        <w:tc>
          <w:tcPr>
            <w:tcW w:w="2727" w:type="dxa"/>
            <w:tcBorders>
              <w:top w:val="nil"/>
              <w:left w:val="single" w:sz="4" w:space="0" w:color="auto"/>
              <w:bottom w:val="single" w:sz="4" w:space="0" w:color="auto"/>
              <w:right w:val="single" w:sz="4" w:space="0" w:color="auto"/>
            </w:tcBorders>
            <w:noWrap/>
            <w:vAlign w:val="bottom"/>
            <w:hideMark/>
          </w:tcPr>
          <w:p w14:paraId="2A9F23A2" w14:textId="6C604135" w:rsidR="00A6776B" w:rsidRPr="00760A9B" w:rsidRDefault="00A6776B" w:rsidP="00A6776B">
            <w:pPr>
              <w:spacing w:after="0"/>
              <w:jc w:val="center"/>
              <w:rPr>
                <w:rFonts w:ascii="Calibri" w:hAnsi="Calibri" w:cs="Calibri"/>
                <w:color w:val="000000"/>
                <w:sz w:val="22"/>
                <w:szCs w:val="22"/>
              </w:rPr>
            </w:pPr>
            <w:r>
              <w:rPr>
                <w:rFonts w:ascii="Calibri" w:hAnsi="Calibri" w:cs="Calibri"/>
                <w:color w:val="000000"/>
                <w:sz w:val="22"/>
                <w:szCs w:val="22"/>
              </w:rPr>
              <w:t>200</w:t>
            </w:r>
          </w:p>
        </w:tc>
      </w:tr>
      <w:tr w:rsidR="00A6776B" w:rsidRPr="00760A9B" w14:paraId="2719800C" w14:textId="77777777" w:rsidTr="00607529">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09224A83" w14:textId="34690C51" w:rsidR="00A6776B" w:rsidRPr="00760A9B" w:rsidRDefault="00A6776B" w:rsidP="00A6776B">
            <w:pPr>
              <w:spacing w:after="0"/>
              <w:rPr>
                <w:rFonts w:ascii="Calibri" w:hAnsi="Calibri" w:cs="Calibri"/>
                <w:color w:val="000000"/>
                <w:sz w:val="22"/>
                <w:szCs w:val="22"/>
              </w:rPr>
            </w:pPr>
            <w:r>
              <w:rPr>
                <w:rFonts w:ascii="Calibri" w:hAnsi="Calibri" w:cs="Calibri"/>
                <w:color w:val="000000"/>
                <w:sz w:val="22"/>
                <w:szCs w:val="22"/>
              </w:rPr>
              <w:t>OZ Východ (LS Stará Voda, Smolník, Jasov, ES Mníšek)</w:t>
            </w:r>
          </w:p>
        </w:tc>
        <w:tc>
          <w:tcPr>
            <w:tcW w:w="1809" w:type="dxa"/>
            <w:tcBorders>
              <w:top w:val="nil"/>
              <w:left w:val="nil"/>
              <w:bottom w:val="single" w:sz="4" w:space="0" w:color="auto"/>
              <w:right w:val="nil"/>
            </w:tcBorders>
            <w:noWrap/>
            <w:vAlign w:val="bottom"/>
            <w:hideMark/>
          </w:tcPr>
          <w:p w14:paraId="03914BC0" w14:textId="512EF5F4" w:rsidR="00A6776B" w:rsidRPr="00760A9B" w:rsidRDefault="00A6776B" w:rsidP="00A6776B">
            <w:pPr>
              <w:spacing w:after="0"/>
              <w:jc w:val="center"/>
              <w:rPr>
                <w:rFonts w:cs="Arial"/>
                <w:szCs w:val="20"/>
              </w:rPr>
            </w:pPr>
            <w:r>
              <w:rPr>
                <w:rFonts w:cs="Arial"/>
                <w:szCs w:val="20"/>
              </w:rPr>
              <w:t>lomový kameň netriedený</w:t>
            </w:r>
          </w:p>
        </w:tc>
        <w:tc>
          <w:tcPr>
            <w:tcW w:w="2727" w:type="dxa"/>
            <w:tcBorders>
              <w:top w:val="nil"/>
              <w:left w:val="single" w:sz="4" w:space="0" w:color="auto"/>
              <w:bottom w:val="single" w:sz="4" w:space="0" w:color="auto"/>
              <w:right w:val="single" w:sz="4" w:space="0" w:color="auto"/>
            </w:tcBorders>
            <w:noWrap/>
            <w:vAlign w:val="bottom"/>
            <w:hideMark/>
          </w:tcPr>
          <w:p w14:paraId="7813B527" w14:textId="04718C2A" w:rsidR="00A6776B" w:rsidRPr="00760A9B" w:rsidRDefault="00A6776B" w:rsidP="00A6776B">
            <w:pPr>
              <w:spacing w:after="0"/>
              <w:jc w:val="center"/>
              <w:rPr>
                <w:rFonts w:ascii="Calibri" w:hAnsi="Calibri" w:cs="Calibri"/>
                <w:color w:val="000000"/>
                <w:sz w:val="22"/>
                <w:szCs w:val="22"/>
              </w:rPr>
            </w:pPr>
            <w:r>
              <w:rPr>
                <w:rFonts w:ascii="Calibri" w:hAnsi="Calibri" w:cs="Calibri"/>
                <w:color w:val="000000"/>
                <w:sz w:val="22"/>
                <w:szCs w:val="22"/>
              </w:rPr>
              <w:t>200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05459269" w:rsidR="005337B7" w:rsidRPr="0021757D" w:rsidRDefault="005337B7" w:rsidP="00C513F2">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w:t>
      </w:r>
      <w:r w:rsidR="00C513F2">
        <w:rPr>
          <w:rFonts w:ascii="Arial" w:hAnsi="Arial" w:cs="Arial"/>
          <w:sz w:val="20"/>
          <w:lang w:val="sk-SK"/>
        </w:rPr>
        <w:t xml:space="preserve">, </w:t>
      </w:r>
      <w:r w:rsidR="00A6776B" w:rsidRPr="00A6776B">
        <w:rPr>
          <w:rFonts w:ascii="Arial" w:hAnsi="Arial" w:cs="Arial"/>
          <w:sz w:val="20"/>
          <w:lang w:val="sk-SK"/>
        </w:rPr>
        <w:t xml:space="preserve">LS Stará Voda, Smolník, Jasov, ES Mníšek </w:t>
      </w:r>
      <w:r w:rsidRPr="00B90429">
        <w:rPr>
          <w:rFonts w:ascii="Arial" w:hAnsi="Arial" w:cs="Arial"/>
          <w:sz w:val="20"/>
          <w:lang w:val="sk-SK"/>
        </w:rPr>
        <w:t xml:space="preserve">najneskôr </w:t>
      </w:r>
      <w:r w:rsidRPr="0021757D">
        <w:rPr>
          <w:rFonts w:ascii="Arial" w:hAnsi="Arial" w:cs="Arial"/>
          <w:sz w:val="20"/>
          <w:lang w:val="sk-SK"/>
        </w:rPr>
        <w:t xml:space="preserve">do </w:t>
      </w:r>
      <w:r w:rsidR="0045081D" w:rsidRPr="0021757D">
        <w:rPr>
          <w:rFonts w:ascii="Arial" w:hAnsi="Arial" w:cs="Arial"/>
          <w:sz w:val="20"/>
          <w:lang w:val="sk-SK"/>
        </w:rPr>
        <w:t>3</w:t>
      </w:r>
      <w:r w:rsidR="0048775A">
        <w:rPr>
          <w:rFonts w:ascii="Arial" w:hAnsi="Arial" w:cs="Arial"/>
          <w:sz w:val="20"/>
          <w:lang w:val="sk-SK"/>
        </w:rPr>
        <w:t>1</w:t>
      </w:r>
      <w:r w:rsidR="00087DAD" w:rsidRPr="0021757D">
        <w:rPr>
          <w:rFonts w:ascii="Arial" w:hAnsi="Arial" w:cs="Arial"/>
          <w:sz w:val="20"/>
          <w:lang w:val="sk-SK"/>
        </w:rPr>
        <w:t>.</w:t>
      </w:r>
      <w:r w:rsidR="0048775A">
        <w:rPr>
          <w:rFonts w:ascii="Arial" w:hAnsi="Arial" w:cs="Arial"/>
          <w:sz w:val="20"/>
          <w:lang w:val="sk-SK"/>
        </w:rPr>
        <w:t>06</w:t>
      </w:r>
      <w:r w:rsidR="006C0AC7" w:rsidRPr="0021757D">
        <w:rPr>
          <w:rFonts w:ascii="Arial" w:hAnsi="Arial" w:cs="Arial"/>
          <w:sz w:val="20"/>
          <w:lang w:val="sk-SK"/>
        </w:rPr>
        <w:t>.202</w:t>
      </w:r>
      <w:r w:rsidR="0048775A">
        <w:rPr>
          <w:rFonts w:ascii="Arial" w:hAnsi="Arial" w:cs="Arial"/>
          <w:sz w:val="20"/>
          <w:lang w:val="sk-SK"/>
        </w:rPr>
        <w:t>6</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lastRenderedPageBreak/>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lastRenderedPageBreak/>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tcPr>
          <w:p w14:paraId="1FE0F105" w14:textId="77777777" w:rsidR="005337B7" w:rsidRPr="00B90429" w:rsidRDefault="005337B7" w:rsidP="00480F32">
            <w:pPr>
              <w:pStyle w:val="Bezriadkovania"/>
              <w:rPr>
                <w:rFonts w:ascii="Arial" w:hAnsi="Arial" w:cs="Arial"/>
                <w:sz w:val="20"/>
                <w:lang w:val="sk-SK"/>
              </w:rPr>
            </w:pPr>
          </w:p>
        </w:tc>
        <w:tc>
          <w:tcPr>
            <w:tcW w:w="4084" w:type="dxa"/>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tcPr>
          <w:p w14:paraId="1F6C3EB6" w14:textId="77777777" w:rsidR="005337B7" w:rsidRPr="00B90429" w:rsidRDefault="005337B7" w:rsidP="00480F32">
            <w:pPr>
              <w:spacing w:after="0"/>
              <w:rPr>
                <w:rFonts w:cs="Arial"/>
                <w:szCs w:val="20"/>
              </w:rPr>
            </w:pPr>
          </w:p>
        </w:tc>
        <w:tc>
          <w:tcPr>
            <w:tcW w:w="4140" w:type="dxa"/>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3F403A0D"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„Nákup kameniva pre OZ Východ</w:t>
      </w:r>
      <w:r w:rsidR="00163718" w:rsidRPr="00163718">
        <w:rPr>
          <w:rFonts w:cs="Arial"/>
          <w:b/>
          <w:szCs w:val="20"/>
          <w:lang w:eastAsia="cs-CZ"/>
        </w:rPr>
        <w:t xml:space="preserve">, </w:t>
      </w:r>
      <w:r w:rsidR="00A6776B" w:rsidRPr="00A6776B">
        <w:rPr>
          <w:rFonts w:cs="Arial"/>
          <w:b/>
          <w:szCs w:val="20"/>
          <w:lang w:eastAsia="cs-CZ"/>
        </w:rPr>
        <w:t>LS Stará Voda, Smolník, Jasov, ES Mníšek</w:t>
      </w:r>
      <w:r w:rsidR="00760A9B" w:rsidRPr="00163718">
        <w:rPr>
          <w:rFonts w:cs="Arial"/>
          <w:b/>
          <w:szCs w:val="20"/>
          <w:lang w:eastAsia="cs-CZ"/>
        </w:rPr>
        <w:t xml:space="preserve"> </w:t>
      </w:r>
      <w:r w:rsidRPr="00163718">
        <w:rPr>
          <w:rFonts w:cs="Arial"/>
          <w:b/>
          <w:szCs w:val="20"/>
          <w:lang w:eastAsia="cs-CZ"/>
        </w:rPr>
        <w:t xml:space="preserve"> – časť A - výzva č. </w:t>
      </w:r>
      <w:r w:rsidR="0048775A">
        <w:rPr>
          <w:rFonts w:cs="Arial"/>
          <w:b/>
          <w:szCs w:val="20"/>
          <w:lang w:eastAsia="cs-CZ"/>
        </w:rPr>
        <w:t>4</w:t>
      </w:r>
      <w:r w:rsidR="00A6776B">
        <w:rPr>
          <w:rFonts w:cs="Arial"/>
          <w:b/>
          <w:szCs w:val="20"/>
          <w:lang w:eastAsia="cs-CZ"/>
        </w:rPr>
        <w:t>4</w:t>
      </w:r>
      <w:r w:rsidRPr="00163718">
        <w:rPr>
          <w:rFonts w:cs="Arial"/>
          <w:b/>
          <w:szCs w:val="20"/>
          <w:lang w:eastAsia="cs-CZ"/>
        </w:rPr>
        <w:t>/202</w:t>
      </w:r>
      <w:r w:rsidR="0048775A">
        <w:rPr>
          <w:rFonts w:cs="Arial"/>
          <w:b/>
          <w:szCs w:val="20"/>
          <w:lang w:eastAsia="cs-CZ"/>
        </w:rPr>
        <w:t>6</w:t>
      </w:r>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5763" w14:textId="77777777" w:rsidR="00C743E9" w:rsidRDefault="00C743E9">
      <w:r>
        <w:separator/>
      </w:r>
    </w:p>
  </w:endnote>
  <w:endnote w:type="continuationSeparator" w:id="0">
    <w:p w14:paraId="68A60ABF" w14:textId="77777777" w:rsidR="00C743E9" w:rsidRDefault="00C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CAEAA0E"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513F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513F2">
                    <w:rPr>
                      <w:bCs/>
                      <w:noProof/>
                      <w:sz w:val="18"/>
                      <w:szCs w:val="18"/>
                    </w:rPr>
                    <w:t>7</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700B" w14:textId="77777777" w:rsidR="00C743E9" w:rsidRDefault="00C743E9">
      <w:r>
        <w:separator/>
      </w:r>
    </w:p>
  </w:footnote>
  <w:footnote w:type="continuationSeparator" w:id="0">
    <w:p w14:paraId="30B34A38" w14:textId="77777777" w:rsidR="00C743E9" w:rsidRDefault="00C7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2212301">
    <w:abstractNumId w:val="63"/>
  </w:num>
  <w:num w:numId="2" w16cid:durableId="227111615">
    <w:abstractNumId w:val="62"/>
  </w:num>
  <w:num w:numId="3" w16cid:durableId="583878798">
    <w:abstractNumId w:val="77"/>
  </w:num>
  <w:num w:numId="4" w16cid:durableId="298264643">
    <w:abstractNumId w:val="40"/>
  </w:num>
  <w:num w:numId="5" w16cid:durableId="98377491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41994496">
    <w:abstractNumId w:val="32"/>
  </w:num>
  <w:num w:numId="7" w16cid:durableId="389692734">
    <w:abstractNumId w:val="3"/>
  </w:num>
  <w:num w:numId="8" w16cid:durableId="1916739199">
    <w:abstractNumId w:val="20"/>
  </w:num>
  <w:num w:numId="9" w16cid:durableId="1943103812">
    <w:abstractNumId w:val="34"/>
  </w:num>
  <w:num w:numId="10" w16cid:durableId="530459554">
    <w:abstractNumId w:val="43"/>
  </w:num>
  <w:num w:numId="11" w16cid:durableId="355737389">
    <w:abstractNumId w:val="19"/>
  </w:num>
  <w:num w:numId="12" w16cid:durableId="1625304842">
    <w:abstractNumId w:val="50"/>
  </w:num>
  <w:num w:numId="13" w16cid:durableId="1737244409">
    <w:abstractNumId w:val="81"/>
  </w:num>
  <w:num w:numId="14" w16cid:durableId="1819153316">
    <w:abstractNumId w:val="21"/>
  </w:num>
  <w:num w:numId="15" w16cid:durableId="791553001">
    <w:abstractNumId w:val="97"/>
  </w:num>
  <w:num w:numId="16" w16cid:durableId="305283504">
    <w:abstractNumId w:val="29"/>
  </w:num>
  <w:num w:numId="17" w16cid:durableId="1338314333">
    <w:abstractNumId w:val="4"/>
  </w:num>
  <w:num w:numId="18" w16cid:durableId="992098939">
    <w:abstractNumId w:val="28"/>
  </w:num>
  <w:num w:numId="19" w16cid:durableId="1172838783">
    <w:abstractNumId w:val="27"/>
  </w:num>
  <w:num w:numId="20" w16cid:durableId="713580953">
    <w:abstractNumId w:val="6"/>
  </w:num>
  <w:num w:numId="21" w16cid:durableId="133180853">
    <w:abstractNumId w:val="66"/>
  </w:num>
  <w:num w:numId="22" w16cid:durableId="2049447149">
    <w:abstractNumId w:val="17"/>
  </w:num>
  <w:num w:numId="23" w16cid:durableId="1389839712">
    <w:abstractNumId w:val="42"/>
  </w:num>
  <w:num w:numId="24" w16cid:durableId="358245225">
    <w:abstractNumId w:val="96"/>
  </w:num>
  <w:num w:numId="25" w16cid:durableId="913005359">
    <w:abstractNumId w:val="60"/>
  </w:num>
  <w:num w:numId="26" w16cid:durableId="1077167385">
    <w:abstractNumId w:val="95"/>
  </w:num>
  <w:num w:numId="27" w16cid:durableId="17194757">
    <w:abstractNumId w:val="91"/>
  </w:num>
  <w:num w:numId="28" w16cid:durableId="734812662">
    <w:abstractNumId w:val="47"/>
  </w:num>
  <w:num w:numId="29" w16cid:durableId="1328437321">
    <w:abstractNumId w:val="68"/>
  </w:num>
  <w:num w:numId="30" w16cid:durableId="91821607">
    <w:abstractNumId w:val="86"/>
  </w:num>
  <w:num w:numId="31" w16cid:durableId="967273097">
    <w:abstractNumId w:val="56"/>
  </w:num>
  <w:num w:numId="32" w16cid:durableId="1139229501">
    <w:abstractNumId w:val="36"/>
  </w:num>
  <w:num w:numId="33" w16cid:durableId="1128619607">
    <w:abstractNumId w:val="72"/>
  </w:num>
  <w:num w:numId="34" w16cid:durableId="1037580238">
    <w:abstractNumId w:val="26"/>
  </w:num>
  <w:num w:numId="35" w16cid:durableId="623075361">
    <w:abstractNumId w:val="57"/>
  </w:num>
  <w:num w:numId="36" w16cid:durableId="1025791220">
    <w:abstractNumId w:val="38"/>
  </w:num>
  <w:num w:numId="37" w16cid:durableId="936134870">
    <w:abstractNumId w:val="69"/>
  </w:num>
  <w:num w:numId="38" w16cid:durableId="1906142133">
    <w:abstractNumId w:val="75"/>
  </w:num>
  <w:num w:numId="39" w16cid:durableId="1700084423">
    <w:abstractNumId w:val="101"/>
  </w:num>
  <w:num w:numId="40" w16cid:durableId="692540589">
    <w:abstractNumId w:val="8"/>
  </w:num>
  <w:num w:numId="41" w16cid:durableId="1495991811">
    <w:abstractNumId w:val="79"/>
  </w:num>
  <w:num w:numId="42" w16cid:durableId="301741038">
    <w:abstractNumId w:val="35"/>
  </w:num>
  <w:num w:numId="43" w16cid:durableId="1986811881">
    <w:abstractNumId w:val="67"/>
  </w:num>
  <w:num w:numId="44" w16cid:durableId="1938518667">
    <w:abstractNumId w:val="30"/>
  </w:num>
  <w:num w:numId="45" w16cid:durableId="1147208808">
    <w:abstractNumId w:val="55"/>
  </w:num>
  <w:num w:numId="46" w16cid:durableId="1518080679">
    <w:abstractNumId w:val="82"/>
  </w:num>
  <w:num w:numId="47" w16cid:durableId="923802027">
    <w:abstractNumId w:val="80"/>
  </w:num>
  <w:num w:numId="48" w16cid:durableId="1574780201">
    <w:abstractNumId w:val="52"/>
  </w:num>
  <w:num w:numId="49" w16cid:durableId="56634796">
    <w:abstractNumId w:val="2"/>
  </w:num>
  <w:num w:numId="50" w16cid:durableId="1345782545">
    <w:abstractNumId w:val="64"/>
  </w:num>
  <w:num w:numId="51" w16cid:durableId="1068187240">
    <w:abstractNumId w:val="90"/>
  </w:num>
  <w:num w:numId="52" w16cid:durableId="1209561544">
    <w:abstractNumId w:val="53"/>
  </w:num>
  <w:num w:numId="53" w16cid:durableId="752707650">
    <w:abstractNumId w:val="51"/>
  </w:num>
  <w:num w:numId="54" w16cid:durableId="612438246">
    <w:abstractNumId w:val="7"/>
  </w:num>
  <w:num w:numId="55" w16cid:durableId="357127927">
    <w:abstractNumId w:val="54"/>
  </w:num>
  <w:num w:numId="56" w16cid:durableId="2048526055">
    <w:abstractNumId w:val="11"/>
  </w:num>
  <w:num w:numId="57" w16cid:durableId="1407453797">
    <w:abstractNumId w:val="16"/>
  </w:num>
  <w:num w:numId="58" w16cid:durableId="773211823">
    <w:abstractNumId w:val="23"/>
  </w:num>
  <w:num w:numId="59" w16cid:durableId="1063144496">
    <w:abstractNumId w:val="92"/>
  </w:num>
  <w:num w:numId="60" w16cid:durableId="1959872647">
    <w:abstractNumId w:val="22"/>
  </w:num>
  <w:num w:numId="61" w16cid:durableId="73286349">
    <w:abstractNumId w:val="46"/>
  </w:num>
  <w:num w:numId="62" w16cid:durableId="78870131">
    <w:abstractNumId w:val="59"/>
  </w:num>
  <w:num w:numId="63" w16cid:durableId="1350840174">
    <w:abstractNumId w:val="58"/>
  </w:num>
  <w:num w:numId="64" w16cid:durableId="2121104630">
    <w:abstractNumId w:val="70"/>
  </w:num>
  <w:num w:numId="65" w16cid:durableId="1235050239">
    <w:abstractNumId w:val="100"/>
  </w:num>
  <w:num w:numId="66" w16cid:durableId="1095900322">
    <w:abstractNumId w:val="39"/>
  </w:num>
  <w:num w:numId="67" w16cid:durableId="833448403">
    <w:abstractNumId w:val="88"/>
  </w:num>
  <w:num w:numId="68" w16cid:durableId="1782409154">
    <w:abstractNumId w:val="78"/>
  </w:num>
  <w:num w:numId="69" w16cid:durableId="329606710">
    <w:abstractNumId w:val="44"/>
  </w:num>
  <w:num w:numId="70" w16cid:durableId="434792375">
    <w:abstractNumId w:val="84"/>
  </w:num>
  <w:num w:numId="71" w16cid:durableId="1972175544">
    <w:abstractNumId w:val="98"/>
  </w:num>
  <w:num w:numId="72" w16cid:durableId="1693146017">
    <w:abstractNumId w:val="85"/>
  </w:num>
  <w:num w:numId="73" w16cid:durableId="1615936493">
    <w:abstractNumId w:val="24"/>
  </w:num>
  <w:num w:numId="74" w16cid:durableId="1898934477">
    <w:abstractNumId w:val="71"/>
  </w:num>
  <w:num w:numId="75" w16cid:durableId="864487858">
    <w:abstractNumId w:val="83"/>
  </w:num>
  <w:num w:numId="76" w16cid:durableId="1347899530">
    <w:abstractNumId w:val="18"/>
  </w:num>
  <w:num w:numId="77" w16cid:durableId="1979410039">
    <w:abstractNumId w:val="48"/>
  </w:num>
  <w:num w:numId="78" w16cid:durableId="239142301">
    <w:abstractNumId w:val="61"/>
  </w:num>
  <w:num w:numId="79" w16cid:durableId="1421876426">
    <w:abstractNumId w:val="15"/>
  </w:num>
  <w:num w:numId="80" w16cid:durableId="2057119700">
    <w:abstractNumId w:val="5"/>
  </w:num>
  <w:num w:numId="81" w16cid:durableId="1771195736">
    <w:abstractNumId w:val="89"/>
  </w:num>
  <w:num w:numId="82" w16cid:durableId="619725397">
    <w:abstractNumId w:val="45"/>
  </w:num>
  <w:num w:numId="83" w16cid:durableId="590357501">
    <w:abstractNumId w:val="94"/>
  </w:num>
  <w:num w:numId="84" w16cid:durableId="1347171352">
    <w:abstractNumId w:val="9"/>
  </w:num>
  <w:num w:numId="85" w16cid:durableId="291833526">
    <w:abstractNumId w:val="33"/>
  </w:num>
  <w:num w:numId="86" w16cid:durableId="96099445">
    <w:abstractNumId w:val="37"/>
  </w:num>
  <w:num w:numId="87" w16cid:durableId="1613708145">
    <w:abstractNumId w:val="73"/>
  </w:num>
  <w:num w:numId="88" w16cid:durableId="192613445">
    <w:abstractNumId w:val="41"/>
  </w:num>
  <w:num w:numId="89" w16cid:durableId="1023632318">
    <w:abstractNumId w:val="25"/>
  </w:num>
  <w:num w:numId="90" w16cid:durableId="1638535001">
    <w:abstractNumId w:val="31"/>
  </w:num>
  <w:num w:numId="91" w16cid:durableId="1242526547">
    <w:abstractNumId w:val="14"/>
  </w:num>
  <w:num w:numId="92" w16cid:durableId="2044557572">
    <w:abstractNumId w:val="10"/>
  </w:num>
  <w:num w:numId="93" w16cid:durableId="949513712">
    <w:abstractNumId w:val="13"/>
  </w:num>
  <w:num w:numId="94" w16cid:durableId="751199100">
    <w:abstractNumId w:val="87"/>
  </w:num>
  <w:num w:numId="95" w16cid:durableId="2051218828">
    <w:abstractNumId w:val="12"/>
  </w:num>
  <w:num w:numId="96" w16cid:durableId="663776993">
    <w:abstractNumId w:val="99"/>
  </w:num>
  <w:num w:numId="97" w16cid:durableId="630063758">
    <w:abstractNumId w:val="49"/>
  </w:num>
  <w:num w:numId="98" w16cid:durableId="541327731">
    <w:abstractNumId w:val="74"/>
  </w:num>
  <w:num w:numId="99" w16cid:durableId="2110079720">
    <w:abstractNumId w:val="65"/>
  </w:num>
  <w:num w:numId="100" w16cid:durableId="1470855716">
    <w:abstractNumId w:val="76"/>
  </w:num>
  <w:num w:numId="101" w16cid:durableId="502822774">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AE0"/>
    <w:rsid w:val="00485F5C"/>
    <w:rsid w:val="0048775A"/>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2B8"/>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567"/>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76B"/>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3F2"/>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3E9"/>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473A"/>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0B923-0FA9-4BCD-99FD-10FCD920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2388</Words>
  <Characters>14618</Characters>
  <Application>Microsoft Office Word</Application>
  <DocSecurity>0</DocSecurity>
  <Lines>339</Lines>
  <Paragraphs>175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16831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31</cp:revision>
  <cp:lastPrinted>2020-04-27T07:19:00Z</cp:lastPrinted>
  <dcterms:created xsi:type="dcterms:W3CDTF">2023-07-17T08:31:00Z</dcterms:created>
  <dcterms:modified xsi:type="dcterms:W3CDTF">2026-04-27T12:06:00Z</dcterms:modified>
  <cp:category>EIZ</cp:category>
</cp:coreProperties>
</file>