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jpeg" ContentType="image/jpe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/>
        <w:jc w:val="both"/>
        <w:rPr>
          <w:rFonts w:ascii="Arial" w:hAnsi="Arial" w:cs="Arial" w:asciiTheme="majorHAnsi" w:cstheme="majorHAnsi" w:hAnsiTheme="majorHAnsi"/>
        </w:rPr>
      </w:pPr>
      <w:r>
        <w:rPr>
          <w:rFonts w:cs="Arial" w:ascii="Arial" w:hAnsi="Arial" w:asciiTheme="majorHAnsi" w:cstheme="majorHAnsi" w:hAnsiTheme="majorHAnsi"/>
        </w:rPr>
        <w:t>Załącznik nr 6</w:t>
      </w:r>
    </w:p>
    <w:p>
      <w:pPr>
        <w:pStyle w:val="Normal"/>
        <w:spacing w:lineRule="auto" w:line="240"/>
        <w:jc w:val="both"/>
        <w:rPr>
          <w:rFonts w:ascii="Arial" w:hAnsi="Arial" w:cs="Arial" w:asciiTheme="majorHAnsi" w:cstheme="majorHAnsi" w:hAnsiTheme="majorHAnsi"/>
        </w:rPr>
      </w:pPr>
      <w:r>
        <w:rPr>
          <w:rFonts w:cs="Arial" w:ascii="Arial" w:hAnsi="Arial" w:asciiTheme="majorHAnsi" w:cstheme="majorHAnsi" w:hAnsiTheme="majorHAnsi"/>
          <w:b/>
          <w:bCs/>
        </w:rPr>
        <w:t xml:space="preserve">OPIS PRZEDMIOTU ZAMÓWIENIA ZAKUP I DOSTAWA UŻYWANEJ ŚMIECIARKI DO ZBIÓRKI ODPADÓW KOMUNALNYCH ZMIESZANYCH I SELEKTYWNIE ZBIERANYCH </w:t>
      </w:r>
      <w:r>
        <w:rPr>
          <w:rFonts w:cs="Arial" w:ascii="Arial" w:hAnsi="Arial" w:asciiTheme="majorHAnsi" w:cstheme="majorHAnsi" w:hAnsiTheme="majorHAnsi"/>
        </w:rPr>
        <w:t xml:space="preserve"> </w:t>
      </w:r>
    </w:p>
    <w:p>
      <w:pPr>
        <w:pStyle w:val="Normal"/>
        <w:spacing w:lineRule="auto" w:line="240"/>
        <w:jc w:val="both"/>
        <w:rPr>
          <w:rFonts w:ascii="Arial" w:hAnsi="Arial" w:cs="Arial" w:asciiTheme="majorHAnsi" w:cstheme="majorHAnsi" w:hAnsiTheme="majorHAnsi"/>
          <w:b/>
          <w:bCs/>
        </w:rPr>
      </w:pPr>
      <w:r>
        <w:rPr>
          <w:rFonts w:cs="Arial" w:ascii="Arial" w:hAnsi="Arial" w:asciiTheme="majorHAnsi" w:cstheme="majorHAnsi" w:hAnsiTheme="majorHAnsi"/>
          <w:b/>
          <w:bCs/>
        </w:rPr>
        <w:t>I. Podwozie:</w:t>
      </w:r>
    </w:p>
    <w:p>
      <w:pPr>
        <w:pStyle w:val="Normal"/>
        <w:spacing w:lineRule="auto" w:line="240"/>
        <w:jc w:val="both"/>
        <w:rPr>
          <w:rFonts w:ascii="Arial" w:hAnsi="Arial" w:cs="Arial" w:asciiTheme="majorHAnsi" w:cstheme="majorHAnsi" w:hAnsiTheme="majorHAnsi"/>
        </w:rPr>
      </w:pPr>
      <w:r>
        <w:rPr>
          <w:rFonts w:cs="Arial" w:ascii="Arial" w:hAnsi="Arial" w:asciiTheme="majorHAnsi" w:cstheme="majorHAnsi" w:hAnsiTheme="majorHAnsi"/>
        </w:rPr>
        <w:t xml:space="preserve">1.1. Podwozie trzy osiowe, wyprodukowane w min. 2023r., </w:t>
      </w:r>
      <w:r>
        <w:rPr>
          <w:rFonts w:cs="Arial" w:ascii="Arial" w:hAnsi="Arial" w:asciiTheme="majorHAnsi" w:cstheme="majorHAnsi" w:hAnsiTheme="majorHAnsi"/>
          <w:u w:val="single"/>
        </w:rPr>
        <w:t>z maksymalnym przebiegiem do 30 000 km.</w:t>
      </w:r>
    </w:p>
    <w:p>
      <w:pPr>
        <w:pStyle w:val="Normal"/>
        <w:spacing w:lineRule="auto" w:line="240"/>
        <w:jc w:val="both"/>
        <w:rPr>
          <w:rFonts w:ascii="Arial" w:hAnsi="Arial" w:cs="Arial" w:asciiTheme="majorHAnsi" w:cstheme="majorHAnsi" w:hAnsiTheme="majorHAnsi"/>
        </w:rPr>
      </w:pPr>
      <w:r>
        <w:rPr>
          <w:rFonts w:cs="Arial" w:ascii="Arial" w:hAnsi="Arial" w:asciiTheme="majorHAnsi" w:cstheme="majorHAnsi" w:hAnsiTheme="majorHAnsi"/>
        </w:rPr>
        <w:t>1.2. DMC pojazdu 26000-28000 kg.</w:t>
      </w:r>
    </w:p>
    <w:p>
      <w:pPr>
        <w:pStyle w:val="Normal"/>
        <w:spacing w:lineRule="auto" w:line="240"/>
        <w:jc w:val="both"/>
        <w:rPr>
          <w:rFonts w:ascii="Arial" w:hAnsi="Arial" w:cs="Arial" w:asciiTheme="majorHAnsi" w:cstheme="majorHAnsi" w:hAnsiTheme="majorHAnsi"/>
        </w:rPr>
      </w:pPr>
      <w:r>
        <w:rPr>
          <w:rFonts w:cs="Arial" w:ascii="Arial" w:hAnsi="Arial" w:asciiTheme="majorHAnsi" w:cstheme="majorHAnsi" w:hAnsiTheme="majorHAnsi"/>
        </w:rPr>
        <w:t>1.3. Przystosowane do zabudowy z zasypem tylnym.</w:t>
      </w:r>
    </w:p>
    <w:p>
      <w:pPr>
        <w:pStyle w:val="Normal"/>
        <w:spacing w:lineRule="auto" w:line="240"/>
        <w:jc w:val="both"/>
        <w:rPr>
          <w:rFonts w:ascii="Arial" w:hAnsi="Arial" w:cs="Arial" w:asciiTheme="majorHAnsi" w:cstheme="majorHAnsi" w:hAnsiTheme="majorHAnsi"/>
        </w:rPr>
      </w:pPr>
      <w:r>
        <w:rPr>
          <w:rFonts w:cs="Arial" w:ascii="Arial" w:hAnsi="Arial" w:asciiTheme="majorHAnsi" w:cstheme="majorHAnsi" w:hAnsiTheme="majorHAnsi"/>
        </w:rPr>
        <w:t>1.4. Rozstaw osi pojazdu 3700-4000 mm.</w:t>
      </w:r>
    </w:p>
    <w:p>
      <w:pPr>
        <w:pStyle w:val="Normal"/>
        <w:spacing w:lineRule="auto" w:line="240"/>
        <w:jc w:val="both"/>
        <w:rPr>
          <w:rFonts w:ascii="Arial" w:hAnsi="Arial" w:cs="Arial" w:asciiTheme="majorHAnsi" w:cstheme="majorHAnsi" w:hAnsiTheme="majorHAnsi"/>
        </w:rPr>
      </w:pPr>
      <w:r>
        <w:rPr>
          <w:rFonts w:cs="Arial" w:ascii="Arial" w:hAnsi="Arial" w:asciiTheme="majorHAnsi" w:cstheme="majorHAnsi" w:hAnsiTheme="majorHAnsi"/>
        </w:rPr>
        <w:t>1.5. Zawieszenie: przód resory piórowe, tył pneumatyczne.</w:t>
      </w:r>
    </w:p>
    <w:p>
      <w:pPr>
        <w:pStyle w:val="Normal"/>
        <w:spacing w:lineRule="auto" w:line="240"/>
        <w:jc w:val="both"/>
        <w:rPr>
          <w:rFonts w:ascii="Arial" w:hAnsi="Arial" w:cs="Arial" w:asciiTheme="majorHAnsi" w:cstheme="majorHAnsi" w:hAnsiTheme="majorHAnsi"/>
        </w:rPr>
      </w:pPr>
      <w:r>
        <w:rPr>
          <w:rFonts w:cs="Arial" w:ascii="Arial" w:hAnsi="Arial" w:asciiTheme="majorHAnsi" w:cstheme="majorHAnsi" w:hAnsiTheme="majorHAnsi"/>
        </w:rPr>
        <w:t>1.6. Stabilizator osi przedniej.</w:t>
      </w:r>
    </w:p>
    <w:p>
      <w:pPr>
        <w:pStyle w:val="Normal"/>
        <w:spacing w:lineRule="auto" w:line="240"/>
        <w:jc w:val="both"/>
        <w:rPr>
          <w:rFonts w:ascii="Arial" w:hAnsi="Arial" w:cs="Arial" w:asciiTheme="majorHAnsi" w:cstheme="majorHAnsi" w:hAnsiTheme="majorHAnsi"/>
        </w:rPr>
      </w:pPr>
      <w:r>
        <w:rPr>
          <w:rFonts w:cs="Arial" w:ascii="Arial" w:hAnsi="Arial" w:asciiTheme="majorHAnsi" w:cstheme="majorHAnsi" w:hAnsiTheme="majorHAnsi"/>
        </w:rPr>
        <w:t>1.7. Blokada mechanizmu różnicowego osi napędowej.</w:t>
      </w:r>
    </w:p>
    <w:p>
      <w:pPr>
        <w:pStyle w:val="Normal"/>
        <w:spacing w:lineRule="auto" w:line="240"/>
        <w:jc w:val="both"/>
        <w:rPr>
          <w:rFonts w:ascii="Arial" w:hAnsi="Arial" w:cs="Arial" w:asciiTheme="majorHAnsi" w:cstheme="majorHAnsi" w:hAnsiTheme="majorHAnsi"/>
        </w:rPr>
      </w:pPr>
      <w:r>
        <w:rPr>
          <w:rFonts w:cs="Arial" w:ascii="Arial" w:hAnsi="Arial" w:asciiTheme="majorHAnsi" w:cstheme="majorHAnsi" w:hAnsiTheme="majorHAnsi"/>
        </w:rPr>
        <w:t>1.8. Pojazd wyposażony w hamulce tarczowe.</w:t>
      </w:r>
    </w:p>
    <w:p>
      <w:pPr>
        <w:pStyle w:val="Normal"/>
        <w:spacing w:lineRule="auto" w:line="240"/>
        <w:jc w:val="both"/>
        <w:rPr>
          <w:rFonts w:ascii="Arial" w:hAnsi="Arial" w:cs="Arial" w:asciiTheme="majorHAnsi" w:cstheme="majorHAnsi" w:hAnsiTheme="majorHAnsi"/>
        </w:rPr>
      </w:pPr>
      <w:r>
        <w:rPr>
          <w:rFonts w:cs="Arial" w:ascii="Arial" w:hAnsi="Arial" w:asciiTheme="majorHAnsi" w:cstheme="majorHAnsi" w:hAnsiTheme="majorHAnsi"/>
        </w:rPr>
        <w:t>1.9. System kontroli trakcji ESP.</w:t>
      </w:r>
    </w:p>
    <w:p>
      <w:pPr>
        <w:pStyle w:val="Normal"/>
        <w:spacing w:lineRule="auto" w:line="240"/>
        <w:jc w:val="both"/>
        <w:rPr>
          <w:rFonts w:ascii="Arial" w:hAnsi="Arial" w:cs="Arial" w:asciiTheme="majorHAnsi" w:cstheme="majorHAnsi" w:hAnsiTheme="majorHAnsi"/>
        </w:rPr>
      </w:pPr>
      <w:r>
        <w:rPr>
          <w:rFonts w:cs="Arial" w:ascii="Arial" w:hAnsi="Arial" w:asciiTheme="majorHAnsi" w:cstheme="majorHAnsi" w:hAnsiTheme="majorHAnsi"/>
        </w:rPr>
        <w:t>1.10. Dopuszczalny nacisk osi przedniej min 8000 kg.</w:t>
      </w:r>
    </w:p>
    <w:p>
      <w:pPr>
        <w:pStyle w:val="Normal"/>
        <w:spacing w:lineRule="auto" w:line="240"/>
        <w:jc w:val="both"/>
        <w:rPr>
          <w:rFonts w:ascii="Arial" w:hAnsi="Arial" w:cs="Arial" w:asciiTheme="majorHAnsi" w:cstheme="majorHAnsi" w:hAnsiTheme="majorHAnsi"/>
        </w:rPr>
      </w:pPr>
      <w:r>
        <w:rPr>
          <w:rFonts w:cs="Arial" w:ascii="Arial" w:hAnsi="Arial" w:asciiTheme="majorHAnsi" w:cstheme="majorHAnsi" w:hAnsiTheme="majorHAnsi"/>
        </w:rPr>
        <w:t>1.11. Dopuszczalny nacisk osi napędowej min 11500 kg.</w:t>
      </w:r>
    </w:p>
    <w:p>
      <w:pPr>
        <w:pStyle w:val="Normal"/>
        <w:spacing w:lineRule="auto" w:line="240"/>
        <w:jc w:val="both"/>
        <w:rPr>
          <w:rFonts w:ascii="Arial" w:hAnsi="Arial" w:cs="Arial" w:asciiTheme="majorHAnsi" w:cstheme="majorHAnsi" w:hAnsiTheme="majorHAnsi"/>
        </w:rPr>
      </w:pPr>
      <w:r>
        <w:rPr>
          <w:rFonts w:cs="Arial" w:ascii="Arial" w:hAnsi="Arial" w:asciiTheme="majorHAnsi" w:cstheme="majorHAnsi" w:hAnsiTheme="majorHAnsi"/>
        </w:rPr>
        <w:t>1.12. Dopuszczalny nacisk osi wleczonej min 7500 kg.</w:t>
      </w:r>
    </w:p>
    <w:p>
      <w:pPr>
        <w:pStyle w:val="Normal"/>
        <w:spacing w:lineRule="auto" w:line="240"/>
        <w:jc w:val="both"/>
        <w:rPr>
          <w:rFonts w:ascii="Arial" w:hAnsi="Arial" w:cs="Arial" w:asciiTheme="majorHAnsi" w:cstheme="majorHAnsi" w:hAnsiTheme="majorHAnsi"/>
        </w:rPr>
      </w:pPr>
      <w:r>
        <w:rPr>
          <w:rFonts w:cs="Arial" w:ascii="Arial" w:hAnsi="Arial" w:asciiTheme="majorHAnsi" w:cstheme="majorHAnsi" w:hAnsiTheme="majorHAnsi"/>
        </w:rPr>
        <w:t>1.13. Nowe opony na felgach stalowych</w:t>
      </w:r>
    </w:p>
    <w:p>
      <w:pPr>
        <w:pStyle w:val="Normal"/>
        <w:spacing w:lineRule="auto" w:line="240"/>
        <w:jc w:val="both"/>
        <w:rPr>
          <w:rFonts w:ascii="Arial" w:hAnsi="Arial" w:cs="Arial" w:asciiTheme="majorHAnsi" w:cstheme="majorHAnsi" w:hAnsiTheme="majorHAnsi"/>
        </w:rPr>
      </w:pPr>
      <w:r>
        <w:rPr>
          <w:rFonts w:cs="Arial" w:ascii="Arial" w:hAnsi="Arial" w:asciiTheme="majorHAnsi" w:cstheme="majorHAnsi" w:hAnsiTheme="majorHAnsi"/>
        </w:rPr>
        <w:t>1.14. Wszystkie koła zabezpieczone osłonami błotnymi (chlapacze).</w:t>
      </w:r>
    </w:p>
    <w:p>
      <w:pPr>
        <w:pStyle w:val="Normal"/>
        <w:spacing w:lineRule="auto" w:line="240"/>
        <w:jc w:val="both"/>
        <w:rPr>
          <w:rFonts w:ascii="Arial" w:hAnsi="Arial" w:cs="Arial" w:asciiTheme="majorHAnsi" w:cstheme="majorHAnsi" w:hAnsiTheme="majorHAnsi"/>
        </w:rPr>
      </w:pPr>
      <w:r>
        <w:rPr>
          <w:rFonts w:cs="Arial" w:ascii="Arial" w:hAnsi="Arial" w:asciiTheme="majorHAnsi" w:cstheme="majorHAnsi" w:hAnsiTheme="majorHAnsi"/>
        </w:rPr>
        <w:t>1.15. Hamulec postojowy.</w:t>
      </w:r>
    </w:p>
    <w:p>
      <w:pPr>
        <w:pStyle w:val="Normal"/>
        <w:spacing w:lineRule="auto" w:line="240"/>
        <w:jc w:val="both"/>
        <w:rPr>
          <w:rFonts w:ascii="Arial" w:hAnsi="Arial" w:cs="Arial" w:asciiTheme="majorHAnsi" w:cstheme="majorHAnsi" w:hAnsiTheme="majorHAnsi"/>
        </w:rPr>
      </w:pPr>
      <w:r>
        <w:rPr>
          <w:rFonts w:cs="Arial" w:ascii="Arial" w:hAnsi="Arial" w:asciiTheme="majorHAnsi" w:cstheme="majorHAnsi" w:hAnsiTheme="majorHAnsi"/>
        </w:rPr>
        <w:t>1.16. System ostrzegania przed kolizją z przodu z hamowaniem awaryjnym</w:t>
      </w:r>
    </w:p>
    <w:p>
      <w:pPr>
        <w:pStyle w:val="Normal"/>
        <w:spacing w:lineRule="auto" w:line="240"/>
        <w:jc w:val="both"/>
        <w:rPr>
          <w:rFonts w:ascii="Arial" w:hAnsi="Arial" w:cs="Arial" w:asciiTheme="majorHAnsi" w:cstheme="majorHAnsi" w:hAnsiTheme="majorHAnsi"/>
        </w:rPr>
      </w:pPr>
      <w:r>
        <w:rPr>
          <w:rFonts w:cs="Arial" w:ascii="Arial" w:hAnsi="Arial" w:asciiTheme="majorHAnsi" w:cstheme="majorHAnsi" w:hAnsiTheme="majorHAnsi"/>
        </w:rPr>
        <w:t>1.17. Silnik o zapłonie samoczynnym min 7500 cm</w:t>
      </w:r>
      <w:r>
        <w:rPr>
          <w:rFonts w:cs="Arial" w:ascii="Arial" w:hAnsi="Arial" w:asciiTheme="majorHAnsi" w:cstheme="majorHAnsi" w:hAnsiTheme="majorHAnsi"/>
          <w:vertAlign w:val="superscript"/>
        </w:rPr>
        <w:t>3</w:t>
      </w:r>
      <w:r>
        <w:rPr>
          <w:rFonts w:cs="Arial" w:ascii="Arial" w:hAnsi="Arial" w:asciiTheme="majorHAnsi" w:cstheme="majorHAnsi" w:hAnsiTheme="majorHAnsi"/>
        </w:rPr>
        <w:t>.</w:t>
      </w:r>
    </w:p>
    <w:p>
      <w:pPr>
        <w:pStyle w:val="Normal"/>
        <w:spacing w:lineRule="auto" w:line="240"/>
        <w:jc w:val="both"/>
        <w:rPr>
          <w:rFonts w:ascii="Arial" w:hAnsi="Arial" w:cs="Arial" w:asciiTheme="majorHAnsi" w:cstheme="majorHAnsi" w:hAnsiTheme="majorHAnsi"/>
        </w:rPr>
      </w:pPr>
      <w:r>
        <w:rPr>
          <w:rFonts w:cs="Arial" w:ascii="Arial" w:hAnsi="Arial" w:asciiTheme="majorHAnsi" w:cstheme="majorHAnsi" w:hAnsiTheme="majorHAnsi"/>
        </w:rPr>
        <w:t>1.18. Moc silnika min 290 KM.</w:t>
      </w:r>
    </w:p>
    <w:p>
      <w:pPr>
        <w:pStyle w:val="Normal"/>
        <w:spacing w:lineRule="auto" w:line="240"/>
        <w:jc w:val="both"/>
        <w:rPr>
          <w:rFonts w:ascii="Arial" w:hAnsi="Arial" w:cs="Arial" w:asciiTheme="majorHAnsi" w:cstheme="majorHAnsi" w:hAnsiTheme="majorHAnsi"/>
        </w:rPr>
      </w:pPr>
      <w:r>
        <w:rPr>
          <w:rFonts w:cs="Arial" w:ascii="Arial" w:hAnsi="Arial" w:asciiTheme="majorHAnsi" w:cstheme="majorHAnsi" w:hAnsiTheme="majorHAnsi"/>
        </w:rPr>
        <w:t>1.19. Norma emisji spalin Euro 6.</w:t>
      </w:r>
    </w:p>
    <w:p>
      <w:pPr>
        <w:pStyle w:val="Normal"/>
        <w:spacing w:lineRule="auto" w:line="240"/>
        <w:jc w:val="both"/>
        <w:rPr>
          <w:rFonts w:ascii="Arial" w:hAnsi="Arial" w:cs="Arial" w:asciiTheme="majorHAnsi" w:cstheme="majorHAnsi" w:hAnsiTheme="majorHAnsi"/>
        </w:rPr>
      </w:pPr>
      <w:r>
        <w:rPr>
          <w:rFonts w:cs="Arial" w:ascii="Arial" w:hAnsi="Arial" w:asciiTheme="majorHAnsi" w:cstheme="majorHAnsi" w:hAnsiTheme="majorHAnsi"/>
        </w:rPr>
        <w:t>1.20. Hamulec silnikowy klapowy</w:t>
      </w:r>
    </w:p>
    <w:p>
      <w:pPr>
        <w:pStyle w:val="Normal"/>
        <w:spacing w:lineRule="auto" w:line="240"/>
        <w:jc w:val="both"/>
        <w:rPr>
          <w:rFonts w:ascii="Arial" w:hAnsi="Arial" w:cs="Arial" w:asciiTheme="majorHAnsi" w:cstheme="majorHAnsi" w:hAnsiTheme="majorHAnsi"/>
        </w:rPr>
      </w:pPr>
      <w:r>
        <w:rPr>
          <w:rFonts w:cs="Arial" w:ascii="Arial" w:hAnsi="Arial" w:asciiTheme="majorHAnsi" w:cstheme="majorHAnsi" w:hAnsiTheme="majorHAnsi"/>
        </w:rPr>
        <w:t xml:space="preserve">1.21. Przystawka do odbioru mocy od silnikowa </w:t>
      </w:r>
    </w:p>
    <w:p>
      <w:pPr>
        <w:pStyle w:val="Normal"/>
        <w:spacing w:lineRule="auto" w:line="240"/>
        <w:jc w:val="both"/>
        <w:rPr>
          <w:rFonts w:ascii="Arial" w:hAnsi="Arial" w:cs="Arial" w:asciiTheme="majorHAnsi" w:cstheme="majorHAnsi" w:hAnsiTheme="majorHAnsi"/>
        </w:rPr>
      </w:pPr>
      <w:r>
        <w:rPr>
          <w:rFonts w:cs="Arial" w:ascii="Arial" w:hAnsi="Arial" w:asciiTheme="majorHAnsi" w:cstheme="majorHAnsi" w:hAnsiTheme="majorHAnsi"/>
        </w:rPr>
        <w:t>1.22. Skrzynia biegów automatyczna lub zautomatyzowana , min 12 biegowa.</w:t>
      </w:r>
    </w:p>
    <w:p>
      <w:pPr>
        <w:pStyle w:val="Normal"/>
        <w:spacing w:lineRule="auto" w:line="240"/>
        <w:jc w:val="both"/>
        <w:rPr>
          <w:rFonts w:ascii="Arial" w:hAnsi="Arial" w:cs="Arial" w:asciiTheme="majorHAnsi" w:cstheme="majorHAnsi" w:hAnsiTheme="majorHAnsi"/>
        </w:rPr>
      </w:pPr>
      <w:r>
        <w:rPr>
          <w:rFonts w:cs="Arial" w:ascii="Arial" w:hAnsi="Arial" w:asciiTheme="majorHAnsi" w:cstheme="majorHAnsi" w:hAnsiTheme="majorHAnsi"/>
        </w:rPr>
        <w:t>1.23. Zbiornik paliwa min 200 l, z zamykanym na kluczyk korkiem.</w:t>
      </w:r>
    </w:p>
    <w:p>
      <w:pPr>
        <w:pStyle w:val="Normal"/>
        <w:spacing w:lineRule="auto" w:line="240"/>
        <w:jc w:val="both"/>
        <w:rPr>
          <w:rFonts w:ascii="Arial" w:hAnsi="Arial" w:cs="Arial" w:asciiTheme="majorHAnsi" w:cstheme="majorHAnsi" w:hAnsiTheme="majorHAnsi"/>
        </w:rPr>
      </w:pPr>
      <w:r>
        <w:rPr>
          <w:rFonts w:cs="Arial" w:ascii="Arial" w:hAnsi="Arial" w:asciiTheme="majorHAnsi" w:cstheme="majorHAnsi" w:hAnsiTheme="majorHAnsi"/>
        </w:rPr>
        <w:t>1.24. Zbiornik AdBlue min 25 l.</w:t>
      </w:r>
    </w:p>
    <w:p>
      <w:pPr>
        <w:pStyle w:val="Normal"/>
        <w:spacing w:lineRule="auto" w:line="240"/>
        <w:jc w:val="both"/>
        <w:rPr>
          <w:rFonts w:ascii="Arial" w:hAnsi="Arial" w:cs="Arial" w:asciiTheme="majorHAnsi" w:cstheme="majorHAnsi" w:hAnsiTheme="majorHAnsi"/>
        </w:rPr>
      </w:pPr>
      <w:r>
        <w:rPr>
          <w:rFonts w:cs="Arial" w:ascii="Arial" w:hAnsi="Arial" w:asciiTheme="majorHAnsi" w:cstheme="majorHAnsi" w:hAnsiTheme="majorHAnsi"/>
        </w:rPr>
        <w:t>1.25. Zderzak narożniki stalowe.</w:t>
      </w:r>
    </w:p>
    <w:p>
      <w:pPr>
        <w:pStyle w:val="Normal"/>
        <w:spacing w:lineRule="auto" w:line="240"/>
        <w:jc w:val="both"/>
        <w:rPr>
          <w:rFonts w:ascii="Arial" w:hAnsi="Arial" w:cs="Arial" w:asciiTheme="majorHAnsi" w:cstheme="majorHAnsi" w:hAnsiTheme="majorHAnsi"/>
        </w:rPr>
      </w:pPr>
      <w:r>
        <w:rPr>
          <w:rFonts w:cs="Arial" w:ascii="Arial" w:hAnsi="Arial" w:asciiTheme="majorHAnsi" w:cstheme="majorHAnsi" w:hAnsiTheme="majorHAnsi"/>
        </w:rPr>
        <w:t>1.26. Kabina dzienna 3 osobowa w kolorze białym.</w:t>
      </w:r>
    </w:p>
    <w:p>
      <w:pPr>
        <w:pStyle w:val="Normal"/>
        <w:spacing w:lineRule="auto" w:line="240"/>
        <w:jc w:val="both"/>
        <w:rPr>
          <w:rFonts w:ascii="Arial" w:hAnsi="Arial" w:cs="Arial" w:asciiTheme="majorHAnsi" w:cstheme="majorHAnsi" w:hAnsiTheme="majorHAnsi"/>
        </w:rPr>
      </w:pPr>
      <w:r>
        <w:rPr>
          <w:rFonts w:cs="Arial" w:ascii="Arial" w:hAnsi="Arial" w:asciiTheme="majorHAnsi" w:cstheme="majorHAnsi" w:hAnsiTheme="majorHAnsi"/>
        </w:rPr>
        <w:t>1.27. 2 kluczyki z pilotem.</w:t>
      </w:r>
    </w:p>
    <w:p>
      <w:pPr>
        <w:pStyle w:val="Normal"/>
        <w:spacing w:lineRule="auto" w:line="240"/>
        <w:jc w:val="both"/>
        <w:rPr>
          <w:rFonts w:ascii="Arial" w:hAnsi="Arial" w:cs="Arial" w:asciiTheme="majorHAnsi" w:cstheme="majorHAnsi" w:hAnsiTheme="majorHAnsi"/>
        </w:rPr>
      </w:pPr>
      <w:r>
        <w:rPr>
          <w:rFonts w:cs="Arial" w:ascii="Arial" w:hAnsi="Arial" w:asciiTheme="majorHAnsi" w:cstheme="majorHAnsi" w:hAnsiTheme="majorHAnsi"/>
        </w:rPr>
        <w:t>1.28. System zamków z zamkiem centralnym.</w:t>
      </w:r>
    </w:p>
    <w:p>
      <w:pPr>
        <w:pStyle w:val="Normal"/>
        <w:spacing w:lineRule="auto" w:line="240"/>
        <w:jc w:val="both"/>
        <w:rPr>
          <w:rFonts w:ascii="Arial" w:hAnsi="Arial" w:cs="Arial" w:asciiTheme="majorHAnsi" w:cstheme="majorHAnsi" w:hAnsiTheme="majorHAnsi"/>
        </w:rPr>
      </w:pPr>
      <w:r>
        <w:rPr>
          <w:rFonts w:cs="Arial" w:ascii="Arial" w:hAnsi="Arial" w:asciiTheme="majorHAnsi" w:cstheme="majorHAnsi" w:hAnsiTheme="majorHAnsi"/>
        </w:rPr>
        <w:t>1.29. Fotel kierowcy amortyzowany.</w:t>
      </w:r>
    </w:p>
    <w:p>
      <w:pPr>
        <w:pStyle w:val="Normal"/>
        <w:spacing w:lineRule="auto" w:line="240"/>
        <w:jc w:val="both"/>
        <w:rPr>
          <w:rFonts w:ascii="Arial" w:hAnsi="Arial" w:cs="Arial" w:asciiTheme="majorHAnsi" w:cstheme="majorHAnsi" w:hAnsiTheme="majorHAnsi"/>
        </w:rPr>
      </w:pPr>
      <w:r>
        <w:rPr>
          <w:rFonts w:cs="Arial" w:ascii="Arial" w:hAnsi="Arial" w:asciiTheme="majorHAnsi" w:cstheme="majorHAnsi" w:hAnsiTheme="majorHAnsi"/>
        </w:rPr>
        <w:t>1.30. Fotel środkowy z pasem bezpieczeństwa 3 punktowym.</w:t>
      </w:r>
    </w:p>
    <w:p>
      <w:pPr>
        <w:pStyle w:val="Normal"/>
        <w:spacing w:lineRule="auto" w:line="240"/>
        <w:jc w:val="both"/>
        <w:rPr>
          <w:rFonts w:ascii="Arial" w:hAnsi="Arial" w:cs="Arial" w:asciiTheme="majorHAnsi" w:cstheme="majorHAnsi" w:hAnsiTheme="majorHAnsi"/>
        </w:rPr>
      </w:pPr>
      <w:r>
        <w:rPr>
          <w:rFonts w:cs="Arial" w:ascii="Arial" w:hAnsi="Arial" w:asciiTheme="majorHAnsi" w:cstheme="majorHAnsi" w:hAnsiTheme="majorHAnsi"/>
        </w:rPr>
        <w:t>1.31. Sygnalizator ostrzegawczy jazdy wstecz.</w:t>
      </w:r>
    </w:p>
    <w:p>
      <w:pPr>
        <w:pStyle w:val="Normal"/>
        <w:spacing w:lineRule="auto" w:line="240"/>
        <w:jc w:val="both"/>
        <w:rPr>
          <w:rFonts w:ascii="Arial" w:hAnsi="Arial" w:cs="Arial" w:asciiTheme="majorHAnsi" w:cstheme="majorHAnsi" w:hAnsiTheme="majorHAnsi"/>
        </w:rPr>
      </w:pPr>
      <w:r>
        <w:rPr>
          <w:rFonts w:cs="Arial" w:ascii="Arial" w:hAnsi="Arial" w:asciiTheme="majorHAnsi" w:cstheme="majorHAnsi" w:hAnsiTheme="majorHAnsi"/>
        </w:rPr>
        <w:t>1.32. Radio z wyjściem USB.</w:t>
      </w:r>
    </w:p>
    <w:p>
      <w:pPr>
        <w:pStyle w:val="Normal"/>
        <w:spacing w:lineRule="auto" w:line="240"/>
        <w:jc w:val="both"/>
        <w:rPr>
          <w:rFonts w:ascii="Arial" w:hAnsi="Arial" w:cs="Arial" w:asciiTheme="majorHAnsi" w:cstheme="majorHAnsi" w:hAnsiTheme="majorHAnsi"/>
        </w:rPr>
      </w:pPr>
      <w:r>
        <w:rPr>
          <w:rFonts w:cs="Arial" w:ascii="Arial" w:hAnsi="Arial" w:asciiTheme="majorHAnsi" w:cstheme="majorHAnsi" w:hAnsiTheme="majorHAnsi"/>
        </w:rPr>
        <w:t>1.33. Klimatyzacja.</w:t>
      </w:r>
    </w:p>
    <w:p>
      <w:pPr>
        <w:pStyle w:val="Normal"/>
        <w:spacing w:lineRule="auto" w:line="240"/>
        <w:jc w:val="both"/>
        <w:rPr>
          <w:rFonts w:ascii="Arial" w:hAnsi="Arial" w:cs="Arial" w:asciiTheme="majorHAnsi" w:cstheme="majorHAnsi" w:hAnsiTheme="majorHAnsi"/>
        </w:rPr>
      </w:pPr>
      <w:r>
        <w:rPr>
          <w:rFonts w:cs="Arial" w:ascii="Arial" w:hAnsi="Arial" w:asciiTheme="majorHAnsi" w:cstheme="majorHAnsi" w:hAnsiTheme="majorHAnsi"/>
        </w:rPr>
        <w:t>1.34. Złącze pneumatyczne w kabinie kierowcy.</w:t>
      </w:r>
    </w:p>
    <w:p>
      <w:pPr>
        <w:pStyle w:val="Normal"/>
        <w:spacing w:lineRule="auto" w:line="240"/>
        <w:jc w:val="both"/>
        <w:rPr>
          <w:rFonts w:ascii="Arial" w:hAnsi="Arial" w:cs="Arial" w:asciiTheme="majorHAnsi" w:cstheme="majorHAnsi" w:hAnsiTheme="majorHAnsi"/>
        </w:rPr>
      </w:pPr>
      <w:r>
        <w:rPr>
          <w:rFonts w:cs="Arial" w:ascii="Arial" w:hAnsi="Arial" w:asciiTheme="majorHAnsi" w:cstheme="majorHAnsi" w:hAnsiTheme="majorHAnsi"/>
        </w:rPr>
        <w:t>1.35. Akumulator 2 x 12V min 180Ah.</w:t>
      </w:r>
    </w:p>
    <w:p>
      <w:pPr>
        <w:pStyle w:val="Normal"/>
        <w:spacing w:lineRule="auto" w:line="240"/>
        <w:jc w:val="both"/>
        <w:rPr>
          <w:rFonts w:ascii="Arial" w:hAnsi="Arial" w:cs="Arial" w:asciiTheme="majorHAnsi" w:cstheme="majorHAnsi" w:hAnsiTheme="majorHAnsi"/>
        </w:rPr>
      </w:pPr>
      <w:r>
        <w:rPr>
          <w:rFonts w:cs="Arial" w:ascii="Arial" w:hAnsi="Arial" w:asciiTheme="majorHAnsi" w:cstheme="majorHAnsi" w:hAnsiTheme="majorHAnsi"/>
        </w:rPr>
        <w:t>1.36. Światła do jazdy dziennej LED</w:t>
      </w:r>
    </w:p>
    <w:p>
      <w:pPr>
        <w:pStyle w:val="Normal"/>
        <w:spacing w:lineRule="auto" w:line="240"/>
        <w:jc w:val="both"/>
        <w:rPr>
          <w:rFonts w:ascii="Arial" w:hAnsi="Arial" w:cs="Arial" w:asciiTheme="majorHAnsi" w:cstheme="majorHAnsi" w:hAnsiTheme="majorHAnsi"/>
        </w:rPr>
      </w:pPr>
      <w:r>
        <w:rPr>
          <w:rFonts w:cs="Arial" w:ascii="Arial" w:hAnsi="Arial" w:asciiTheme="majorHAnsi" w:cstheme="majorHAnsi" w:hAnsiTheme="majorHAnsi"/>
        </w:rPr>
        <w:t>1.37. Światła przeciwmgielne</w:t>
      </w:r>
    </w:p>
    <w:p>
      <w:pPr>
        <w:pStyle w:val="Normal"/>
        <w:spacing w:lineRule="auto" w:line="240"/>
        <w:jc w:val="both"/>
        <w:rPr>
          <w:rFonts w:ascii="Arial" w:hAnsi="Arial" w:cs="Arial" w:asciiTheme="majorHAnsi" w:cstheme="majorHAnsi" w:hAnsiTheme="majorHAnsi"/>
        </w:rPr>
      </w:pPr>
      <w:r>
        <w:rPr>
          <w:rFonts w:cs="Arial" w:ascii="Arial" w:hAnsi="Arial" w:asciiTheme="majorHAnsi" w:cstheme="majorHAnsi" w:hAnsiTheme="majorHAnsi"/>
        </w:rPr>
        <w:t>1.38. Ogranicznik prędkości do 90km/h.</w:t>
      </w:r>
    </w:p>
    <w:p>
      <w:pPr>
        <w:pStyle w:val="Normal"/>
        <w:spacing w:lineRule="auto" w:line="240"/>
        <w:jc w:val="both"/>
        <w:rPr>
          <w:rFonts w:ascii="Arial" w:hAnsi="Arial" w:cs="Arial" w:asciiTheme="majorHAnsi" w:cstheme="majorHAnsi" w:hAnsiTheme="majorHAnsi"/>
        </w:rPr>
      </w:pPr>
      <w:r>
        <w:rPr>
          <w:rFonts w:cs="Arial" w:ascii="Arial" w:hAnsi="Arial" w:asciiTheme="majorHAnsi" w:cstheme="majorHAnsi" w:hAnsiTheme="majorHAnsi"/>
        </w:rPr>
        <w:t>1.39. Ogranicznik prędkości cofania V max 30km/h.</w:t>
      </w:r>
    </w:p>
    <w:p>
      <w:pPr>
        <w:pStyle w:val="Normal"/>
        <w:spacing w:lineRule="auto" w:line="240"/>
        <w:jc w:val="both"/>
        <w:rPr>
          <w:rFonts w:ascii="Arial" w:hAnsi="Arial" w:cs="Arial" w:asciiTheme="majorHAnsi" w:cstheme="majorHAnsi" w:hAnsiTheme="majorHAnsi"/>
        </w:rPr>
      </w:pPr>
      <w:r>
        <w:rPr>
          <w:rFonts w:cs="Arial" w:ascii="Arial" w:hAnsi="Arial" w:asciiTheme="majorHAnsi" w:cstheme="majorHAnsi" w:hAnsiTheme="majorHAnsi"/>
        </w:rPr>
        <w:t>1.40. Osłony przeciw najazdowe boczne.</w:t>
      </w:r>
    </w:p>
    <w:p>
      <w:pPr>
        <w:pStyle w:val="Normal"/>
        <w:spacing w:lineRule="auto" w:line="240"/>
        <w:jc w:val="both"/>
        <w:rPr>
          <w:rFonts w:ascii="Arial" w:hAnsi="Arial" w:cs="Arial" w:asciiTheme="majorHAnsi" w:cstheme="majorHAnsi" w:hAnsiTheme="majorHAnsi"/>
        </w:rPr>
      </w:pPr>
      <w:r>
        <w:rPr>
          <w:rFonts w:cs="Arial" w:ascii="Arial" w:hAnsi="Arial" w:asciiTheme="majorHAnsi" w:cstheme="majorHAnsi" w:hAnsiTheme="majorHAnsi"/>
        </w:rPr>
        <w:t>1.41. Wyświetlacz z komputerem pokładowym w języku polskim.</w:t>
      </w:r>
    </w:p>
    <w:p>
      <w:pPr>
        <w:pStyle w:val="Normal"/>
        <w:spacing w:lineRule="auto" w:line="240"/>
        <w:jc w:val="both"/>
        <w:rPr>
          <w:rFonts w:ascii="Arial" w:hAnsi="Arial" w:cs="Arial" w:asciiTheme="majorHAnsi" w:cstheme="majorHAnsi" w:hAnsiTheme="majorHAnsi"/>
        </w:rPr>
      </w:pPr>
      <w:r>
        <w:rPr>
          <w:rFonts w:cs="Arial" w:ascii="Arial" w:hAnsi="Arial" w:asciiTheme="majorHAnsi" w:cstheme="majorHAnsi" w:hAnsiTheme="majorHAnsi"/>
        </w:rPr>
        <w:t>1.42. Tachograf z godnie z obowiązującymi przepisami.</w:t>
      </w:r>
    </w:p>
    <w:p>
      <w:pPr>
        <w:pStyle w:val="Normal"/>
        <w:spacing w:lineRule="auto" w:line="240"/>
        <w:jc w:val="both"/>
        <w:rPr>
          <w:rFonts w:ascii="Arial" w:hAnsi="Arial" w:cs="Arial" w:asciiTheme="majorHAnsi" w:cstheme="majorHAnsi" w:hAnsiTheme="majorHAnsi"/>
        </w:rPr>
      </w:pPr>
      <w:r>
        <w:rPr>
          <w:rFonts w:cs="Arial" w:ascii="Arial" w:hAnsi="Arial" w:asciiTheme="majorHAnsi" w:cstheme="majorHAnsi" w:hAnsiTheme="majorHAnsi"/>
        </w:rPr>
        <w:t>1.43. Posiadanie deklaracji zgodności dla podwozia CE.</w:t>
      </w:r>
    </w:p>
    <w:p>
      <w:pPr>
        <w:pStyle w:val="Normal"/>
        <w:spacing w:lineRule="auto" w:line="240"/>
        <w:jc w:val="both"/>
        <w:rPr>
          <w:rFonts w:ascii="Arial" w:hAnsi="Arial" w:cs="Arial" w:asciiTheme="majorHAnsi" w:cstheme="majorHAnsi" w:hAnsiTheme="majorHAnsi"/>
        </w:rPr>
      </w:pPr>
      <w:r>
        <w:rPr>
          <w:rFonts w:cs="Arial" w:ascii="Arial" w:hAnsi="Arial" w:asciiTheme="majorHAnsi" w:cstheme="majorHAnsi" w:hAnsiTheme="majorHAnsi"/>
        </w:rPr>
        <w:t>1.44. Instrukcja obsługi w języku polskim.</w:t>
      </w:r>
    </w:p>
    <w:p>
      <w:pPr>
        <w:pStyle w:val="Normal"/>
        <w:spacing w:lineRule="auto" w:line="240"/>
        <w:jc w:val="both"/>
        <w:rPr>
          <w:rFonts w:ascii="Arial" w:hAnsi="Arial" w:cs="Arial" w:asciiTheme="majorHAnsi" w:cstheme="majorHAnsi" w:hAnsiTheme="majorHAnsi"/>
        </w:rPr>
      </w:pPr>
      <w:r>
        <w:rPr>
          <w:rFonts w:cs="Arial" w:ascii="Arial" w:hAnsi="Arial" w:asciiTheme="majorHAnsi" w:cstheme="majorHAnsi" w:hAnsiTheme="majorHAnsi"/>
        </w:rPr>
        <w:t>1.45. Podnośnik min 12 t teleskopowy.</w:t>
      </w:r>
    </w:p>
    <w:p>
      <w:pPr>
        <w:pStyle w:val="Normal"/>
        <w:spacing w:lineRule="auto" w:line="240"/>
        <w:jc w:val="both"/>
        <w:rPr>
          <w:rFonts w:ascii="Arial" w:hAnsi="Arial" w:cs="Arial" w:asciiTheme="majorHAnsi" w:cstheme="majorHAnsi" w:hAnsiTheme="majorHAnsi"/>
        </w:rPr>
      </w:pPr>
      <w:r>
        <w:rPr>
          <w:rFonts w:cs="Arial" w:ascii="Arial" w:hAnsi="Arial" w:asciiTheme="majorHAnsi" w:cstheme="majorHAnsi" w:hAnsiTheme="majorHAnsi"/>
        </w:rPr>
        <w:t>1.46. 2 kliny pod koła, gaśnica, trójkąt ostrzegawczy, apteczka, podstawowe narzędzia do obsługi pojazdu.</w:t>
      </w:r>
    </w:p>
    <w:p>
      <w:pPr>
        <w:pStyle w:val="Normal"/>
        <w:spacing w:lineRule="auto" w:line="240"/>
        <w:jc w:val="both"/>
        <w:rPr>
          <w:rFonts w:ascii="Arial" w:hAnsi="Arial" w:cs="Arial" w:asciiTheme="majorHAnsi" w:cstheme="majorHAnsi" w:hAnsiTheme="majorHAnsi"/>
        </w:rPr>
      </w:pPr>
      <w:r>
        <w:rPr>
          <w:rFonts w:cs="Arial" w:ascii="Arial" w:hAnsi="Arial" w:asciiTheme="majorHAnsi" w:cstheme="majorHAnsi" w:hAnsiTheme="majorHAnsi"/>
        </w:rPr>
        <w:t>1.47. Pistolet na sprężone powietrze z elastycznym przewodem.</w:t>
      </w:r>
    </w:p>
    <w:p>
      <w:pPr>
        <w:pStyle w:val="Normal"/>
        <w:spacing w:lineRule="auto" w:line="240"/>
        <w:jc w:val="both"/>
        <w:rPr>
          <w:rFonts w:ascii="Arial" w:hAnsi="Arial" w:cs="Arial" w:asciiTheme="majorHAnsi" w:cstheme="majorHAnsi" w:hAnsiTheme="majorHAnsi"/>
        </w:rPr>
      </w:pPr>
      <w:r>
        <w:rPr>
          <w:rFonts w:cs="Arial" w:ascii="Arial" w:hAnsi="Arial" w:asciiTheme="majorHAnsi" w:cstheme="majorHAnsi" w:hAnsiTheme="majorHAnsi"/>
        </w:rPr>
        <w:t>1.48. Komplet gumowych dywaników.</w:t>
      </w:r>
    </w:p>
    <w:p>
      <w:pPr>
        <w:pStyle w:val="Normal"/>
        <w:spacing w:lineRule="auto" w:line="240"/>
        <w:jc w:val="both"/>
        <w:rPr>
          <w:rFonts w:ascii="Arial" w:hAnsi="Arial" w:cs="Arial" w:asciiTheme="majorHAnsi" w:cstheme="majorHAnsi" w:hAnsiTheme="majorHAnsi"/>
        </w:rPr>
      </w:pPr>
      <w:r>
        <w:rPr>
          <w:rFonts w:cs="Arial" w:ascii="Arial" w:hAnsi="Arial" w:asciiTheme="majorHAnsi" w:cstheme="majorHAnsi" w:hAnsiTheme="majorHAnsi"/>
        </w:rPr>
        <w:t>1.49. Podgrzewana szyba przednia. </w:t>
      </w:r>
    </w:p>
    <w:p>
      <w:pPr>
        <w:pStyle w:val="Normal"/>
        <w:spacing w:lineRule="auto" w:line="240"/>
        <w:jc w:val="both"/>
        <w:rPr>
          <w:rFonts w:ascii="Arial" w:hAnsi="Arial" w:cs="Arial" w:asciiTheme="majorHAnsi" w:cstheme="majorHAnsi" w:hAnsiTheme="majorHAnsi"/>
        </w:rPr>
      </w:pPr>
      <w:r>
        <w:rPr>
          <w:rFonts w:cs="Arial" w:ascii="Arial" w:hAnsi="Arial" w:asciiTheme="majorHAnsi" w:cstheme="majorHAnsi" w:hAnsiTheme="majorHAnsi"/>
        </w:rPr>
        <w:t>1.50. Komplet pokrowców na siedzenie.</w:t>
      </w:r>
    </w:p>
    <w:p>
      <w:pPr>
        <w:pStyle w:val="Normal"/>
        <w:spacing w:lineRule="auto" w:line="240"/>
        <w:jc w:val="both"/>
        <w:rPr>
          <w:rFonts w:ascii="Arial" w:hAnsi="Arial" w:cs="Arial" w:asciiTheme="majorHAnsi" w:cstheme="majorHAnsi" w:hAnsiTheme="majorHAnsi"/>
        </w:rPr>
      </w:pPr>
      <w:r>
        <w:rPr>
          <w:rFonts w:cs="Arial" w:ascii="Arial" w:hAnsi="Arial" w:asciiTheme="majorHAnsi" w:cstheme="majorHAnsi" w:hAnsiTheme="majorHAnsi"/>
        </w:rPr>
        <w:t>1.51. Podświetlane stopnie wejściowe</w:t>
      </w:r>
    </w:p>
    <w:p>
      <w:pPr>
        <w:pStyle w:val="Normal"/>
        <w:spacing w:lineRule="auto" w:line="240"/>
        <w:jc w:val="both"/>
        <w:rPr>
          <w:rFonts w:ascii="Arial" w:hAnsi="Arial" w:cs="Arial" w:asciiTheme="majorHAnsi" w:cstheme="majorHAnsi" w:hAnsiTheme="majorHAnsi"/>
        </w:rPr>
      </w:pPr>
      <w:r>
        <w:rPr>
          <w:rFonts w:cs="Arial" w:ascii="Arial" w:hAnsi="Arial" w:asciiTheme="majorHAnsi" w:cstheme="majorHAnsi" w:hAnsiTheme="majorHAnsi"/>
        </w:rPr>
        <w:t>1.52. Belka świetlna ostrzegawcza kolor pomarańczowy, na kabinie.</w:t>
      </w:r>
    </w:p>
    <w:p>
      <w:pPr>
        <w:pStyle w:val="Normal"/>
        <w:spacing w:lineRule="auto" w:line="240"/>
        <w:jc w:val="both"/>
        <w:rPr>
          <w:rFonts w:ascii="Arial" w:hAnsi="Arial" w:cs="Arial" w:asciiTheme="majorHAnsi" w:cstheme="majorHAnsi" w:hAnsiTheme="majorHAnsi"/>
          <w:b/>
          <w:bCs/>
        </w:rPr>
      </w:pPr>
      <w:r>
        <w:rPr>
          <w:rFonts w:cs="Arial" w:cstheme="majorHAnsi" w:ascii="Arial" w:hAnsi="Arial"/>
          <w:b/>
          <w:bCs/>
        </w:rPr>
      </w:r>
    </w:p>
    <w:p>
      <w:pPr>
        <w:pStyle w:val="Normal"/>
        <w:spacing w:lineRule="auto" w:line="240"/>
        <w:jc w:val="both"/>
        <w:rPr>
          <w:rFonts w:ascii="Arial" w:hAnsi="Arial" w:cs="Arial" w:asciiTheme="majorHAnsi" w:cstheme="majorHAnsi" w:hAnsiTheme="majorHAnsi"/>
        </w:rPr>
      </w:pPr>
      <w:r>
        <w:rPr>
          <w:rFonts w:cs="Arial" w:ascii="Arial" w:hAnsi="Arial" w:asciiTheme="majorHAnsi" w:cstheme="majorHAnsi" w:hAnsiTheme="majorHAnsi"/>
          <w:b/>
          <w:bCs/>
        </w:rPr>
        <w:t>II. Zabudowa:</w:t>
      </w:r>
      <w:r>
        <w:rPr>
          <w:rFonts w:cs="Arial" w:ascii="Arial" w:hAnsi="Arial" w:asciiTheme="majorHAnsi" w:cstheme="majorHAnsi" w:hAnsiTheme="majorHAnsi"/>
        </w:rPr>
        <w:t xml:space="preserve"> </w:t>
      </w:r>
    </w:p>
    <w:p>
      <w:pPr>
        <w:pStyle w:val="Normal"/>
        <w:spacing w:lineRule="auto" w:line="240"/>
        <w:jc w:val="both"/>
        <w:rPr>
          <w:rFonts w:ascii="Arial" w:hAnsi="Arial" w:cs="Arial" w:asciiTheme="majorHAnsi" w:cstheme="majorHAnsi" w:hAnsiTheme="majorHAnsi"/>
        </w:rPr>
      </w:pPr>
      <w:r>
        <w:rPr>
          <w:rFonts w:cs="Arial" w:ascii="Arial" w:hAnsi="Arial" w:asciiTheme="majorHAnsi" w:cstheme="majorHAnsi" w:hAnsiTheme="majorHAnsi"/>
        </w:rPr>
        <w:t>2.1. Zabudowa skrzyniowa z urządzeniem załadowczym tylnym, przeznaczona do zbierania odpadów stałych gromadzonych w pojemnikach komunalnych, surowców wtórnych o pojemności od SM 80 do SM 1100, oraz odpadów wielkogabarytowych.</w:t>
      </w:r>
    </w:p>
    <w:p>
      <w:pPr>
        <w:pStyle w:val="Normal"/>
        <w:spacing w:lineRule="auto" w:line="240"/>
        <w:jc w:val="both"/>
        <w:rPr>
          <w:rFonts w:ascii="Arial" w:hAnsi="Arial" w:cs="Arial" w:asciiTheme="majorHAnsi" w:cstheme="majorHAnsi" w:hAnsiTheme="majorHAnsi"/>
        </w:rPr>
      </w:pPr>
      <w:r>
        <w:rPr>
          <w:rFonts w:cs="Arial" w:ascii="Arial" w:hAnsi="Arial" w:asciiTheme="majorHAnsi" w:cstheme="majorHAnsi" w:hAnsiTheme="majorHAnsi"/>
        </w:rPr>
        <w:t>2.2. Zabudowa połączona elastycznie z podwoziem.</w:t>
      </w:r>
    </w:p>
    <w:p>
      <w:pPr>
        <w:pStyle w:val="Normal"/>
        <w:spacing w:lineRule="auto" w:line="240"/>
        <w:jc w:val="both"/>
        <w:rPr>
          <w:rFonts w:ascii="Arial" w:hAnsi="Arial" w:cs="Arial" w:asciiTheme="majorHAnsi" w:cstheme="majorHAnsi" w:hAnsiTheme="majorHAnsi"/>
        </w:rPr>
      </w:pPr>
      <w:r>
        <w:rPr>
          <w:rFonts w:cs="Arial" w:ascii="Arial" w:hAnsi="Arial" w:asciiTheme="majorHAnsi" w:cstheme="majorHAnsi" w:hAnsiTheme="majorHAnsi"/>
        </w:rPr>
        <w:t>2.3. Skrzynia ładunkowa o owalnych kształtach, każda ze ścian zbiornika wykonana z pojedynczego jednolitego arkusza stali wysokogatunkowej , bez spawów.</w:t>
      </w:r>
    </w:p>
    <w:p>
      <w:pPr>
        <w:pStyle w:val="Normal"/>
        <w:spacing w:lineRule="auto" w:line="240"/>
        <w:jc w:val="both"/>
        <w:rPr>
          <w:rFonts w:ascii="Arial" w:hAnsi="Arial" w:cs="Arial" w:asciiTheme="majorHAnsi" w:cstheme="majorHAnsi" w:hAnsiTheme="majorHAnsi"/>
        </w:rPr>
      </w:pPr>
      <w:r>
        <w:rPr>
          <w:rFonts w:cs="Arial" w:ascii="Arial" w:hAnsi="Arial" w:asciiTheme="majorHAnsi" w:cstheme="majorHAnsi" w:hAnsiTheme="majorHAnsi"/>
        </w:rPr>
        <w:t>2.4. Podłoga skrzyni ładunkowej płaska lub owalna , wykonana ze stali o grubości min 6mm.</w:t>
      </w:r>
    </w:p>
    <w:p>
      <w:pPr>
        <w:pStyle w:val="Normal"/>
        <w:spacing w:lineRule="auto" w:line="240"/>
        <w:jc w:val="both"/>
        <w:rPr>
          <w:rFonts w:ascii="Arial" w:hAnsi="Arial" w:cs="Arial" w:asciiTheme="majorHAnsi" w:cstheme="majorHAnsi" w:hAnsiTheme="majorHAnsi"/>
        </w:rPr>
      </w:pPr>
      <w:r>
        <w:rPr>
          <w:rFonts w:cs="Arial" w:ascii="Arial" w:hAnsi="Arial" w:asciiTheme="majorHAnsi" w:cstheme="majorHAnsi" w:hAnsiTheme="majorHAnsi"/>
        </w:rPr>
        <w:t>2.5. Pojemność zabudowy min 22 m</w:t>
      </w:r>
      <w:r>
        <w:rPr>
          <w:rFonts w:cs="Arial" w:ascii="Arial" w:hAnsi="Arial" w:asciiTheme="majorHAnsi" w:cstheme="majorHAnsi" w:hAnsiTheme="majorHAnsi"/>
          <w:vertAlign w:val="superscript"/>
        </w:rPr>
        <w:t>3</w:t>
      </w:r>
      <w:r>
        <w:rPr>
          <w:rFonts w:cs="Arial" w:ascii="Arial" w:hAnsi="Arial" w:asciiTheme="majorHAnsi" w:cstheme="majorHAnsi" w:hAnsiTheme="majorHAnsi"/>
        </w:rPr>
        <w:t>.</w:t>
      </w:r>
    </w:p>
    <w:p>
      <w:pPr>
        <w:pStyle w:val="Normal"/>
        <w:spacing w:lineRule="auto" w:line="240"/>
        <w:jc w:val="both"/>
        <w:rPr>
          <w:rFonts w:ascii="Arial" w:hAnsi="Arial" w:cs="Arial" w:asciiTheme="majorHAnsi" w:cstheme="majorHAnsi" w:hAnsiTheme="majorHAnsi"/>
        </w:rPr>
      </w:pPr>
      <w:r>
        <w:rPr>
          <w:rFonts w:cs="Arial" w:ascii="Arial" w:hAnsi="Arial" w:asciiTheme="majorHAnsi" w:cstheme="majorHAnsi" w:hAnsiTheme="majorHAnsi"/>
        </w:rPr>
        <w:t>2.6. Wanna załadowcza wykonana z blachy o grubości dna min 8 mm, boki o grubości min 4mm.</w:t>
      </w:r>
    </w:p>
    <w:p>
      <w:pPr>
        <w:pStyle w:val="Normal"/>
        <w:spacing w:lineRule="auto" w:line="240"/>
        <w:jc w:val="both"/>
        <w:rPr>
          <w:rFonts w:ascii="Arial" w:hAnsi="Arial" w:cs="Arial" w:asciiTheme="majorHAnsi" w:cstheme="majorHAnsi" w:hAnsiTheme="majorHAnsi"/>
        </w:rPr>
      </w:pPr>
      <w:r>
        <w:rPr>
          <w:rFonts w:cs="Arial" w:ascii="Arial" w:hAnsi="Arial" w:asciiTheme="majorHAnsi" w:cstheme="majorHAnsi" w:hAnsiTheme="majorHAnsi"/>
        </w:rPr>
        <w:t>2.7. Objętość kosza zasypowego min 2,0 m</w:t>
      </w:r>
      <w:r>
        <w:rPr>
          <w:rFonts w:cs="Arial" w:ascii="Arial" w:hAnsi="Arial" w:asciiTheme="majorHAnsi" w:cstheme="majorHAnsi" w:hAnsiTheme="majorHAnsi"/>
          <w:vertAlign w:val="superscript"/>
        </w:rPr>
        <w:t>3</w:t>
      </w:r>
      <w:r>
        <w:rPr>
          <w:rFonts w:cs="Arial" w:ascii="Arial" w:hAnsi="Arial" w:asciiTheme="majorHAnsi" w:cstheme="majorHAnsi" w:hAnsiTheme="majorHAnsi"/>
        </w:rPr>
        <w:t>.</w:t>
      </w:r>
    </w:p>
    <w:p>
      <w:pPr>
        <w:pStyle w:val="Normal"/>
        <w:spacing w:lineRule="auto" w:line="240"/>
        <w:jc w:val="both"/>
        <w:rPr>
          <w:rFonts w:ascii="Arial" w:hAnsi="Arial" w:cs="Arial" w:asciiTheme="majorHAnsi" w:cstheme="majorHAnsi" w:hAnsiTheme="majorHAnsi"/>
        </w:rPr>
      </w:pPr>
      <w:r>
        <w:rPr>
          <w:rFonts w:cs="Arial" w:ascii="Arial" w:hAnsi="Arial" w:asciiTheme="majorHAnsi" w:cstheme="majorHAnsi" w:hAnsiTheme="majorHAnsi"/>
        </w:rPr>
        <w:t>2.8. Króciec odpływowy w wannie załadowczej z zaworem kulowym.</w:t>
      </w:r>
    </w:p>
    <w:p>
      <w:pPr>
        <w:pStyle w:val="Normal"/>
        <w:spacing w:lineRule="auto" w:line="240"/>
        <w:jc w:val="both"/>
        <w:rPr>
          <w:rFonts w:ascii="Arial" w:hAnsi="Arial" w:cs="Arial" w:asciiTheme="majorHAnsi" w:cstheme="majorHAnsi" w:hAnsiTheme="majorHAnsi"/>
        </w:rPr>
      </w:pPr>
      <w:r>
        <w:rPr>
          <w:rFonts w:cs="Arial" w:ascii="Arial" w:hAnsi="Arial" w:asciiTheme="majorHAnsi" w:cstheme="majorHAnsi" w:hAnsiTheme="majorHAnsi"/>
        </w:rPr>
        <w:t>2.9. Mechanizm zgniatania jarzmowy.</w:t>
      </w:r>
    </w:p>
    <w:p>
      <w:pPr>
        <w:pStyle w:val="Normal"/>
        <w:spacing w:lineRule="auto" w:line="240"/>
        <w:jc w:val="both"/>
        <w:rPr>
          <w:rFonts w:ascii="Arial" w:hAnsi="Arial" w:cs="Arial" w:asciiTheme="majorHAnsi" w:cstheme="majorHAnsi" w:hAnsiTheme="majorHAnsi"/>
        </w:rPr>
      </w:pPr>
      <w:r>
        <w:rPr>
          <w:rFonts w:cs="Arial" w:ascii="Arial" w:hAnsi="Arial" w:asciiTheme="majorHAnsi" w:cstheme="majorHAnsi" w:hAnsiTheme="majorHAnsi"/>
        </w:rPr>
        <w:t>2.10. Prowadnice płyty wypychającej umieszczone na ścianach zabudowy.</w:t>
      </w:r>
    </w:p>
    <w:p>
      <w:pPr>
        <w:pStyle w:val="Normal"/>
        <w:spacing w:lineRule="auto" w:line="240"/>
        <w:jc w:val="both"/>
        <w:rPr>
          <w:rFonts w:ascii="Arial" w:hAnsi="Arial" w:cs="Arial" w:asciiTheme="majorHAnsi" w:cstheme="majorHAnsi" w:hAnsiTheme="majorHAnsi"/>
        </w:rPr>
      </w:pPr>
      <w:r>
        <w:rPr>
          <w:rFonts w:cs="Arial" w:ascii="Arial" w:hAnsi="Arial" w:asciiTheme="majorHAnsi" w:cstheme="majorHAnsi" w:hAnsiTheme="majorHAnsi"/>
        </w:rPr>
        <w:t>2.11. Możliwość wysunięcia płyty zgniatającej poza skrzynię ładunkową celem dokładnego oczyszczenia skrzyni z odpadów.</w:t>
      </w:r>
    </w:p>
    <w:p>
      <w:pPr>
        <w:pStyle w:val="Normal"/>
        <w:spacing w:lineRule="auto" w:line="240"/>
        <w:jc w:val="both"/>
        <w:rPr>
          <w:rFonts w:ascii="Arial" w:hAnsi="Arial" w:cs="Arial" w:asciiTheme="majorHAnsi" w:cstheme="majorHAnsi" w:hAnsiTheme="majorHAnsi"/>
        </w:rPr>
      </w:pPr>
      <w:r>
        <w:rPr>
          <w:rFonts w:cs="Arial" w:ascii="Arial" w:hAnsi="Arial" w:asciiTheme="majorHAnsi" w:cstheme="majorHAnsi" w:hAnsiTheme="majorHAnsi"/>
        </w:rPr>
        <w:t>2.12. Urządzenie do otwierania pokryw pojemników.</w:t>
      </w:r>
    </w:p>
    <w:p>
      <w:pPr>
        <w:pStyle w:val="Normal"/>
        <w:spacing w:lineRule="auto" w:line="240"/>
        <w:jc w:val="both"/>
        <w:rPr>
          <w:rFonts w:ascii="Arial" w:hAnsi="Arial" w:cs="Arial" w:asciiTheme="majorHAnsi" w:cstheme="majorHAnsi" w:hAnsiTheme="majorHAnsi"/>
        </w:rPr>
      </w:pPr>
      <w:r>
        <w:rPr>
          <w:rFonts w:cs="Arial" w:ascii="Arial" w:hAnsi="Arial" w:asciiTheme="majorHAnsi" w:cstheme="majorHAnsi" w:hAnsiTheme="majorHAnsi"/>
        </w:rPr>
        <w:t>2.13. Możliwość sterowania mechanizmem załadowczym w cyklu automatycznym, ciągłym oraz pojedynczym.</w:t>
      </w:r>
    </w:p>
    <w:p>
      <w:pPr>
        <w:pStyle w:val="Normal"/>
        <w:spacing w:lineRule="auto" w:line="240"/>
        <w:jc w:val="both"/>
        <w:rPr>
          <w:rFonts w:ascii="Arial" w:hAnsi="Arial" w:cs="Arial" w:asciiTheme="majorHAnsi" w:cstheme="majorHAnsi" w:hAnsiTheme="majorHAnsi"/>
        </w:rPr>
      </w:pPr>
      <w:r>
        <w:rPr>
          <w:rFonts w:cs="Arial" w:ascii="Arial" w:hAnsi="Arial" w:asciiTheme="majorHAnsi" w:cstheme="majorHAnsi" w:hAnsiTheme="majorHAnsi"/>
        </w:rPr>
        <w:t>2.14. Możliwość sterowania urządzeniem zasypowym po obu stronach odwłoka.</w:t>
      </w:r>
    </w:p>
    <w:p>
      <w:pPr>
        <w:pStyle w:val="Normal"/>
        <w:spacing w:lineRule="auto" w:line="240"/>
        <w:jc w:val="both"/>
        <w:rPr>
          <w:rFonts w:ascii="Arial" w:hAnsi="Arial" w:cs="Arial" w:asciiTheme="majorHAnsi" w:cstheme="majorHAnsi" w:hAnsiTheme="majorHAnsi"/>
        </w:rPr>
      </w:pPr>
      <w:r>
        <w:rPr>
          <w:rFonts w:cs="Arial" w:ascii="Arial" w:hAnsi="Arial" w:asciiTheme="majorHAnsi" w:cstheme="majorHAnsi" w:hAnsiTheme="majorHAnsi"/>
        </w:rPr>
        <w:t>2.15. Możliwość sterowania płytą wypychającą (wysuwanie i wsuwanie) ze stanowiska na zewnątrz pojazdu z boku odwłoka lub z kabiny kierowcy.</w:t>
      </w:r>
    </w:p>
    <w:p>
      <w:pPr>
        <w:pStyle w:val="Normal"/>
        <w:spacing w:lineRule="auto" w:line="240"/>
        <w:jc w:val="both"/>
        <w:rPr>
          <w:rFonts w:ascii="Arial" w:hAnsi="Arial" w:cs="Arial" w:asciiTheme="majorHAnsi" w:cstheme="majorHAnsi" w:hAnsiTheme="majorHAnsi"/>
        </w:rPr>
      </w:pPr>
      <w:r>
        <w:rPr>
          <w:rFonts w:cs="Arial" w:ascii="Arial" w:hAnsi="Arial" w:asciiTheme="majorHAnsi" w:cstheme="majorHAnsi" w:hAnsiTheme="majorHAnsi"/>
        </w:rPr>
        <w:t>2.16. Układ uwalniania zakleszczonych pojemników.</w:t>
      </w:r>
    </w:p>
    <w:p>
      <w:pPr>
        <w:pStyle w:val="Normal"/>
        <w:spacing w:lineRule="auto" w:line="240"/>
        <w:jc w:val="both"/>
        <w:rPr>
          <w:rFonts w:ascii="Arial" w:hAnsi="Arial" w:cs="Arial" w:asciiTheme="majorHAnsi" w:cstheme="majorHAnsi" w:hAnsiTheme="majorHAnsi"/>
        </w:rPr>
      </w:pPr>
      <w:r>
        <w:rPr>
          <w:rFonts w:cs="Arial" w:ascii="Arial" w:hAnsi="Arial" w:asciiTheme="majorHAnsi" w:cstheme="majorHAnsi" w:hAnsiTheme="majorHAnsi"/>
        </w:rPr>
        <w:t>2.17. Minimum dwa wyłączniki bezpieczeństwa (STOP awaryjny) umieszczone po obu stronach zabudowy, jeden w kabinie kierowcy.</w:t>
      </w:r>
    </w:p>
    <w:p>
      <w:pPr>
        <w:pStyle w:val="Normal"/>
        <w:spacing w:lineRule="auto" w:line="240"/>
        <w:jc w:val="both"/>
        <w:rPr>
          <w:rFonts w:ascii="Arial" w:hAnsi="Arial" w:cs="Arial" w:asciiTheme="majorHAnsi" w:cstheme="majorHAnsi" w:hAnsiTheme="majorHAnsi"/>
        </w:rPr>
      </w:pPr>
      <w:r>
        <w:rPr>
          <w:rFonts w:cs="Arial" w:ascii="Arial" w:hAnsi="Arial" w:asciiTheme="majorHAnsi" w:cstheme="majorHAnsi" w:hAnsiTheme="majorHAnsi"/>
        </w:rPr>
        <w:t>2.18. Automatyczne sterowanie obrotami silnika w zależności od obciążenia układu hydraulicznego.</w:t>
      </w:r>
    </w:p>
    <w:p>
      <w:pPr>
        <w:pStyle w:val="Normal"/>
        <w:spacing w:lineRule="auto" w:line="240"/>
        <w:jc w:val="both"/>
        <w:rPr>
          <w:rFonts w:ascii="Arial" w:hAnsi="Arial" w:cs="Arial" w:asciiTheme="majorHAnsi" w:cstheme="majorHAnsi" w:hAnsiTheme="majorHAnsi"/>
        </w:rPr>
      </w:pPr>
      <w:r>
        <w:rPr>
          <w:rFonts w:cs="Arial" w:ascii="Arial" w:hAnsi="Arial" w:asciiTheme="majorHAnsi" w:cstheme="majorHAnsi" w:hAnsiTheme="majorHAnsi"/>
        </w:rPr>
        <w:t>2.19. Stopień zagęszczenia odpadów 6:1.</w:t>
      </w:r>
    </w:p>
    <w:p>
      <w:pPr>
        <w:pStyle w:val="Normal"/>
        <w:spacing w:lineRule="auto" w:line="240"/>
        <w:jc w:val="both"/>
        <w:rPr>
          <w:rFonts w:ascii="Arial" w:hAnsi="Arial" w:cs="Arial" w:asciiTheme="majorHAnsi" w:cstheme="majorHAnsi" w:hAnsiTheme="majorHAnsi"/>
        </w:rPr>
      </w:pPr>
      <w:r>
        <w:rPr>
          <w:rFonts w:cs="Arial" w:ascii="Arial" w:hAnsi="Arial" w:asciiTheme="majorHAnsi" w:cstheme="majorHAnsi" w:hAnsiTheme="majorHAnsi"/>
        </w:rPr>
        <w:t>2.20. Możliwość odbierania odpadów wielkogabarytowych.</w:t>
      </w:r>
    </w:p>
    <w:p>
      <w:pPr>
        <w:pStyle w:val="Normal"/>
        <w:spacing w:lineRule="auto" w:line="240"/>
        <w:jc w:val="both"/>
        <w:rPr>
          <w:rFonts w:ascii="Arial" w:hAnsi="Arial" w:cs="Arial" w:asciiTheme="majorHAnsi" w:cstheme="majorHAnsi" w:hAnsiTheme="majorHAnsi"/>
        </w:rPr>
      </w:pPr>
      <w:r>
        <w:rPr>
          <w:rFonts w:cs="Arial" w:ascii="Arial" w:hAnsi="Arial" w:asciiTheme="majorHAnsi" w:cstheme="majorHAnsi" w:hAnsiTheme="majorHAnsi"/>
        </w:rPr>
        <w:t>2.21. Krawędź kosza zasypowego z otwieraną klapą.</w:t>
      </w:r>
    </w:p>
    <w:p>
      <w:pPr>
        <w:pStyle w:val="Normal"/>
        <w:spacing w:lineRule="auto" w:line="240"/>
        <w:jc w:val="both"/>
        <w:rPr>
          <w:rFonts w:ascii="Arial" w:hAnsi="Arial" w:cs="Arial" w:asciiTheme="majorHAnsi" w:cstheme="majorHAnsi" w:hAnsiTheme="majorHAnsi"/>
        </w:rPr>
      </w:pPr>
      <w:r>
        <w:rPr>
          <w:rFonts w:cs="Arial" w:ascii="Arial" w:hAnsi="Arial" w:asciiTheme="majorHAnsi" w:cstheme="majorHAnsi" w:hAnsiTheme="majorHAnsi"/>
        </w:rPr>
        <w:t>2.22. Odwłok z automatyczną blokadą i odblokowywaniem.</w:t>
      </w:r>
    </w:p>
    <w:p>
      <w:pPr>
        <w:pStyle w:val="Normal"/>
        <w:spacing w:lineRule="auto" w:line="240"/>
        <w:jc w:val="both"/>
        <w:rPr>
          <w:rFonts w:ascii="Arial" w:hAnsi="Arial" w:cs="Arial" w:asciiTheme="majorHAnsi" w:cstheme="majorHAnsi" w:hAnsiTheme="majorHAnsi"/>
        </w:rPr>
      </w:pPr>
      <w:r>
        <w:rPr>
          <w:rFonts w:cs="Arial" w:ascii="Arial" w:hAnsi="Arial" w:asciiTheme="majorHAnsi" w:cstheme="majorHAnsi" w:hAnsiTheme="majorHAnsi"/>
        </w:rPr>
        <w:t>2.23. Dwa stopnie dla ładowaczy z możliwością ograniczenia prędkości do 30 km/h, uniemożliwienie manewru cofania pojazdu.</w:t>
      </w:r>
    </w:p>
    <w:p>
      <w:pPr>
        <w:pStyle w:val="Normal"/>
        <w:spacing w:lineRule="auto" w:line="240"/>
        <w:jc w:val="both"/>
        <w:rPr>
          <w:rFonts w:ascii="Arial" w:hAnsi="Arial" w:cs="Arial" w:asciiTheme="majorHAnsi" w:cstheme="majorHAnsi" w:hAnsiTheme="majorHAnsi"/>
        </w:rPr>
      </w:pPr>
      <w:r>
        <w:rPr>
          <w:rFonts w:cs="Arial" w:ascii="Arial" w:hAnsi="Arial" w:asciiTheme="majorHAnsi" w:cstheme="majorHAnsi" w:hAnsiTheme="majorHAnsi"/>
        </w:rPr>
        <w:t>2.24. Dwa siłowniki prasy zgniatającej.</w:t>
      </w:r>
    </w:p>
    <w:p>
      <w:pPr>
        <w:pStyle w:val="Normal"/>
        <w:spacing w:lineRule="auto" w:line="240"/>
        <w:jc w:val="both"/>
        <w:rPr>
          <w:rFonts w:ascii="Arial" w:hAnsi="Arial" w:cs="Arial" w:asciiTheme="majorHAnsi" w:cstheme="majorHAnsi" w:hAnsiTheme="majorHAnsi"/>
        </w:rPr>
      </w:pPr>
      <w:r>
        <w:rPr>
          <w:rFonts w:cs="Arial" w:ascii="Arial" w:hAnsi="Arial" w:asciiTheme="majorHAnsi" w:cstheme="majorHAnsi" w:hAnsiTheme="majorHAnsi"/>
        </w:rPr>
        <w:t>2.25. Uszczelka zamontowana pomiędzy odwłokiem , a skrzynią ładunkową.</w:t>
      </w:r>
    </w:p>
    <w:p>
      <w:pPr>
        <w:pStyle w:val="Normal"/>
        <w:spacing w:lineRule="auto" w:line="240"/>
        <w:jc w:val="both"/>
        <w:rPr>
          <w:rFonts w:ascii="Arial" w:hAnsi="Arial" w:cs="Arial" w:asciiTheme="majorHAnsi" w:cstheme="majorHAnsi" w:hAnsiTheme="majorHAnsi"/>
        </w:rPr>
      </w:pPr>
      <w:r>
        <w:rPr>
          <w:rFonts w:cs="Arial" w:ascii="Arial" w:hAnsi="Arial" w:asciiTheme="majorHAnsi" w:cstheme="majorHAnsi" w:hAnsiTheme="majorHAnsi"/>
        </w:rPr>
        <w:t>2.26. Rura odpływowa z zaworem na BIO odcieki.</w:t>
      </w:r>
    </w:p>
    <w:p>
      <w:pPr>
        <w:pStyle w:val="Normal"/>
        <w:spacing w:lineRule="auto" w:line="240"/>
        <w:jc w:val="both"/>
        <w:rPr>
          <w:rFonts w:ascii="Arial" w:hAnsi="Arial" w:cs="Arial" w:asciiTheme="majorHAnsi" w:cstheme="majorHAnsi" w:hAnsiTheme="majorHAnsi"/>
        </w:rPr>
      </w:pPr>
      <w:r>
        <w:rPr>
          <w:rFonts w:cs="Arial" w:ascii="Arial" w:hAnsi="Arial" w:asciiTheme="majorHAnsi" w:cstheme="majorHAnsi" w:hAnsiTheme="majorHAnsi"/>
        </w:rPr>
        <w:t>2.27. Kamera umieszczona z tylu zabudowy oraz monitor w kabinie kierowcy</w:t>
      </w:r>
    </w:p>
    <w:p>
      <w:pPr>
        <w:pStyle w:val="Normal"/>
        <w:spacing w:lineRule="auto" w:line="240"/>
        <w:jc w:val="both"/>
        <w:rPr>
          <w:rFonts w:ascii="Arial" w:hAnsi="Arial" w:cs="Arial" w:asciiTheme="majorHAnsi" w:cstheme="majorHAnsi" w:hAnsiTheme="majorHAnsi"/>
          <w:b/>
          <w:bCs/>
        </w:rPr>
      </w:pPr>
      <w:r>
        <w:rPr>
          <w:rFonts w:cs="Arial" w:cstheme="majorHAnsi" w:ascii="Arial" w:hAnsi="Arial"/>
          <w:b/>
          <w:bCs/>
        </w:rPr>
      </w:r>
    </w:p>
    <w:p>
      <w:pPr>
        <w:pStyle w:val="Normal"/>
        <w:spacing w:lineRule="auto" w:line="240"/>
        <w:jc w:val="both"/>
        <w:rPr>
          <w:rFonts w:ascii="Arial" w:hAnsi="Arial" w:cs="Arial" w:asciiTheme="majorHAnsi" w:cstheme="majorHAnsi" w:hAnsiTheme="majorHAnsi"/>
          <w:b/>
          <w:bCs/>
        </w:rPr>
      </w:pPr>
      <w:r>
        <w:rPr>
          <w:rFonts w:cs="Arial" w:ascii="Arial" w:hAnsi="Arial" w:asciiTheme="majorHAnsi" w:cstheme="majorHAnsi" w:hAnsiTheme="majorHAnsi"/>
          <w:b/>
          <w:bCs/>
        </w:rPr>
        <w:t>III. Wymagania dotyczące systemu wagowego z identyfikacją pojemników RFID oraz systemu rejestracji obrazu:</w:t>
      </w:r>
    </w:p>
    <w:p>
      <w:pPr>
        <w:pStyle w:val="Normal"/>
        <w:spacing w:lineRule="auto" w:line="240"/>
        <w:jc w:val="both"/>
        <w:rPr>
          <w:rFonts w:ascii="Arial" w:hAnsi="Arial" w:cs="Arial" w:asciiTheme="majorHAnsi" w:cstheme="majorHAnsi" w:hAnsiTheme="majorHAnsi"/>
        </w:rPr>
      </w:pPr>
      <w:r>
        <w:rPr>
          <w:rFonts w:cs="Arial" w:ascii="Arial" w:hAnsi="Arial" w:asciiTheme="majorHAnsi" w:cstheme="majorHAnsi" w:hAnsiTheme="majorHAnsi"/>
        </w:rPr>
        <w:t>3.1. Pojazd ma być wyposażony w system monitoringu położenia pojazdu umożliwiający identyfikację i rejestrację lokalizacji pojazdu, oparty o dowolną z dostępnych usług nawigacji satelitarnej.</w:t>
      </w:r>
    </w:p>
    <w:p>
      <w:pPr>
        <w:pStyle w:val="Normal"/>
        <w:spacing w:lineRule="auto" w:line="240"/>
        <w:jc w:val="both"/>
        <w:rPr>
          <w:rFonts w:ascii="Arial" w:hAnsi="Arial" w:cs="Arial" w:asciiTheme="majorHAnsi" w:cstheme="majorHAnsi" w:hAnsiTheme="majorHAnsi"/>
        </w:rPr>
      </w:pPr>
      <w:r>
        <w:rPr>
          <w:rFonts w:cs="Arial" w:ascii="Arial" w:hAnsi="Arial" w:asciiTheme="majorHAnsi" w:cstheme="majorHAnsi" w:hAnsiTheme="majorHAnsi"/>
        </w:rPr>
        <w:t>3.2. Zamawiający wymaga, aby system monitoringu lokalizacji pojazdu rejestrował lokalizację pojazdu nie rzadziej niż co 50 m i 15 sekund, oraz rejestrował datę i czas pomiaru położenia pojazdu</w:t>
      </w:r>
    </w:p>
    <w:p>
      <w:pPr>
        <w:pStyle w:val="Normal"/>
        <w:spacing w:lineRule="auto" w:line="240"/>
        <w:jc w:val="both"/>
        <w:rPr>
          <w:rFonts w:ascii="Arial" w:hAnsi="Arial" w:cs="Arial" w:asciiTheme="majorHAnsi" w:cstheme="majorHAnsi" w:hAnsiTheme="majorHAnsi"/>
        </w:rPr>
      </w:pPr>
      <w:r>
        <w:rPr>
          <w:rFonts w:cs="Arial" w:ascii="Arial" w:hAnsi="Arial" w:asciiTheme="majorHAnsi" w:cstheme="majorHAnsi" w:hAnsiTheme="majorHAnsi"/>
        </w:rPr>
        <w:t>3.3. System powinien rejestrować chwilowy błąd wyznaczania lokalizacji wyrażany w metrach.</w:t>
      </w:r>
    </w:p>
    <w:p>
      <w:pPr>
        <w:pStyle w:val="Normal"/>
        <w:spacing w:lineRule="auto" w:line="240"/>
        <w:jc w:val="both"/>
        <w:rPr>
          <w:rFonts w:ascii="Arial" w:hAnsi="Arial" w:cs="Arial" w:asciiTheme="majorHAnsi" w:cstheme="majorHAnsi" w:hAnsiTheme="majorHAnsi"/>
        </w:rPr>
      </w:pPr>
      <w:r>
        <w:rPr>
          <w:rFonts w:cs="Arial" w:ascii="Arial" w:hAnsi="Arial" w:asciiTheme="majorHAnsi" w:cstheme="majorHAnsi" w:hAnsiTheme="majorHAnsi"/>
        </w:rPr>
        <w:t>3.4. Zamawiający nie dopuszcza wyłączenia systemu monitoringu położenia pojazdu lub spowodowania zaprzestania jego pracy podczas realizacji trasy.</w:t>
      </w:r>
    </w:p>
    <w:p>
      <w:pPr>
        <w:pStyle w:val="Normal"/>
        <w:spacing w:lineRule="auto" w:line="240"/>
        <w:jc w:val="both"/>
        <w:rPr>
          <w:rFonts w:ascii="Arial" w:hAnsi="Arial" w:cs="Arial" w:asciiTheme="majorHAnsi" w:cstheme="majorHAnsi" w:hAnsiTheme="majorHAnsi"/>
        </w:rPr>
      </w:pPr>
      <w:r>
        <w:rPr>
          <w:rFonts w:cs="Arial" w:ascii="Arial" w:hAnsi="Arial" w:asciiTheme="majorHAnsi" w:cstheme="majorHAnsi" w:hAnsiTheme="majorHAnsi"/>
          <w:spacing w:val="-2"/>
        </w:rPr>
        <w:t>3.5. Zamawiający dopuszcza brak rejestracji położenia.</w:t>
      </w:r>
    </w:p>
    <w:p>
      <w:pPr>
        <w:pStyle w:val="Normal"/>
        <w:spacing w:lineRule="auto" w:line="240"/>
        <w:jc w:val="both"/>
        <w:rPr>
          <w:rFonts w:ascii="Arial" w:hAnsi="Arial" w:cs="Arial" w:asciiTheme="majorHAnsi" w:cstheme="majorHAnsi" w:hAnsiTheme="majorHAnsi"/>
          <w:spacing w:val="-2"/>
        </w:rPr>
      </w:pPr>
      <w:r>
        <w:rPr>
          <w:rFonts w:cs="Arial" w:cstheme="majorHAnsi" w:ascii="Arial" w:hAnsi="Arial"/>
          <w:spacing w:val="-2"/>
        </w:rPr>
      </w:r>
    </w:p>
    <w:p>
      <w:pPr>
        <w:pStyle w:val="Normal"/>
        <w:spacing w:lineRule="auto" w:line="240"/>
        <w:jc w:val="both"/>
        <w:rPr>
          <w:rFonts w:ascii="Arial" w:hAnsi="Arial" w:cs="Arial" w:asciiTheme="majorHAnsi" w:cstheme="majorHAnsi" w:hAnsiTheme="majorHAnsi"/>
          <w:b/>
          <w:bCs/>
        </w:rPr>
      </w:pPr>
      <w:r>
        <w:rPr>
          <w:rFonts w:cs="Arial" w:ascii="Arial" w:hAnsi="Arial" w:asciiTheme="majorHAnsi" w:cstheme="majorHAnsi" w:hAnsiTheme="majorHAnsi"/>
          <w:b/>
          <w:bCs/>
        </w:rPr>
        <w:t>IV. Wymagania dotyczące automatycznego systemu identyfikacji RFID pojemników:</w:t>
      </w:r>
    </w:p>
    <w:p>
      <w:pPr>
        <w:pStyle w:val="Normal"/>
        <w:spacing w:lineRule="auto" w:line="240"/>
        <w:jc w:val="both"/>
        <w:rPr>
          <w:rFonts w:ascii="Arial" w:hAnsi="Arial" w:cs="Arial" w:asciiTheme="majorHAnsi" w:cstheme="majorHAnsi" w:hAnsiTheme="majorHAnsi"/>
        </w:rPr>
      </w:pPr>
      <w:r>
        <w:rPr>
          <w:rFonts w:cs="Arial" w:ascii="Arial" w:hAnsi="Arial" w:asciiTheme="majorHAnsi" w:cstheme="majorHAnsi" w:hAnsiTheme="majorHAnsi"/>
        </w:rPr>
        <w:t>4.1. System musi zapewniać identyfikację pojemników za pomocą anten RFID, każdy ważony pojemnik powinien być automatycznie identyfikowany przez rejestrację identyfikatora zamontowanego na pojemniku.</w:t>
      </w:r>
    </w:p>
    <w:p>
      <w:pPr>
        <w:pStyle w:val="Normal"/>
        <w:spacing w:lineRule="auto" w:line="240"/>
        <w:jc w:val="both"/>
        <w:rPr>
          <w:rFonts w:ascii="Arial" w:hAnsi="Arial" w:cs="Arial" w:asciiTheme="majorHAnsi" w:cstheme="majorHAnsi" w:hAnsiTheme="majorHAnsi"/>
        </w:rPr>
      </w:pPr>
      <w:r>
        <w:rPr>
          <w:rFonts w:cs="Arial" w:ascii="Arial" w:hAnsi="Arial" w:asciiTheme="majorHAnsi" w:cstheme="majorHAnsi" w:hAnsiTheme="majorHAnsi"/>
        </w:rPr>
        <w:t>4.2. Dane o odczytach RFID muszą być przekazywane do Systemu Informatycznego natychmiast po wystąpieniu zdarzenia .</w:t>
      </w:r>
    </w:p>
    <w:p>
      <w:pPr>
        <w:pStyle w:val="Normal"/>
        <w:spacing w:lineRule="auto" w:line="240"/>
        <w:jc w:val="both"/>
        <w:rPr>
          <w:rFonts w:ascii="Arial" w:hAnsi="Arial" w:cs="Arial" w:asciiTheme="majorHAnsi" w:cstheme="majorHAnsi" w:hAnsiTheme="majorHAnsi"/>
        </w:rPr>
      </w:pPr>
      <w:r>
        <w:rPr>
          <w:rFonts w:cs="Arial" w:ascii="Arial" w:hAnsi="Arial" w:asciiTheme="majorHAnsi" w:cstheme="majorHAnsi" w:hAnsiTheme="majorHAnsi"/>
        </w:rPr>
        <w:t>4.3. System radiowej identyfikacji pojemników musi pracować w oparciu o identyfikatory pracujące na częstotliwości do 135 kHz.</w:t>
      </w:r>
    </w:p>
    <w:p>
      <w:pPr>
        <w:pStyle w:val="Normal"/>
        <w:spacing w:lineRule="auto" w:line="240"/>
        <w:jc w:val="both"/>
        <w:rPr>
          <w:rFonts w:ascii="Arial" w:hAnsi="Arial" w:cs="Arial" w:asciiTheme="majorHAnsi" w:cstheme="majorHAnsi" w:hAnsiTheme="majorHAnsi"/>
        </w:rPr>
      </w:pPr>
      <w:r>
        <w:rPr>
          <w:rFonts w:cs="Arial" w:ascii="Arial" w:hAnsi="Arial" w:asciiTheme="majorHAnsi" w:cstheme="majorHAnsi" w:hAnsiTheme="majorHAnsi"/>
        </w:rPr>
        <w:t>4.4. System musi umożliwiać identyfikację wszystkich standardowych pojemników od 120 l do 1100 l pojemności, zarówno plastikowych jak i metalowych.</w:t>
      </w:r>
    </w:p>
    <w:p>
      <w:pPr>
        <w:pStyle w:val="Normal"/>
        <w:spacing w:lineRule="auto" w:line="240"/>
        <w:jc w:val="both"/>
        <w:rPr>
          <w:rFonts w:ascii="Arial" w:hAnsi="Arial" w:cs="Arial" w:asciiTheme="majorHAnsi" w:cstheme="majorHAnsi" w:hAnsiTheme="majorHAnsi"/>
        </w:rPr>
      </w:pPr>
      <w:r>
        <w:rPr>
          <w:rFonts w:cs="Arial" w:ascii="Arial" w:hAnsi="Arial" w:asciiTheme="majorHAnsi" w:cstheme="majorHAnsi" w:hAnsiTheme="majorHAnsi"/>
        </w:rPr>
        <w:t>4.5. Wymagany stopień ochrony środowiskowej komponentów systemu to IP67 lub wyższy.</w:t>
      </w:r>
    </w:p>
    <w:p>
      <w:pPr>
        <w:pStyle w:val="Normal"/>
        <w:spacing w:lineRule="auto" w:line="240"/>
        <w:jc w:val="both"/>
        <w:rPr>
          <w:rFonts w:ascii="Arial" w:hAnsi="Arial" w:cs="Arial" w:asciiTheme="majorHAnsi" w:cstheme="majorHAnsi" w:hAnsiTheme="majorHAnsi"/>
        </w:rPr>
      </w:pPr>
      <w:r>
        <w:rPr>
          <w:rFonts w:cs="Arial" w:ascii="Arial" w:hAnsi="Arial" w:asciiTheme="majorHAnsi" w:cstheme="majorHAnsi" w:hAnsiTheme="majorHAnsi"/>
        </w:rPr>
        <w:t>4.6. System RFID musi gwarantować brak wzajemnego zakłócania się wszystkich podłączonych anten podczas pracy systemu .</w:t>
      </w:r>
    </w:p>
    <w:p>
      <w:pPr>
        <w:pStyle w:val="Normal"/>
        <w:spacing w:lineRule="auto" w:line="240"/>
        <w:jc w:val="both"/>
        <w:rPr>
          <w:rFonts w:ascii="Arial" w:hAnsi="Arial" w:cs="Arial" w:asciiTheme="majorHAnsi" w:cstheme="majorHAnsi" w:hAnsiTheme="majorHAnsi"/>
        </w:rPr>
      </w:pPr>
      <w:r>
        <w:rPr>
          <w:rFonts w:cs="Arial" w:ascii="Arial" w:hAnsi="Arial" w:asciiTheme="majorHAnsi" w:cstheme="majorHAnsi" w:hAnsiTheme="majorHAnsi"/>
          <w:spacing w:val="-2"/>
        </w:rPr>
        <w:t>4.7. System RFID musi powiadomić załogę o: odczycie RFID z trasówki, braku odczytu RFID podczas wykonywania zasypu.</w:t>
      </w:r>
    </w:p>
    <w:p>
      <w:pPr>
        <w:pStyle w:val="Normal"/>
        <w:spacing w:lineRule="auto" w:line="240"/>
        <w:jc w:val="both"/>
        <w:rPr>
          <w:rFonts w:ascii="Arial" w:hAnsi="Arial" w:cs="Arial" w:asciiTheme="majorHAnsi" w:cstheme="majorHAnsi" w:hAnsiTheme="majorHAnsi"/>
          <w:spacing w:val="-2"/>
        </w:rPr>
      </w:pPr>
      <w:r>
        <w:rPr>
          <w:rFonts w:cs="Arial" w:cstheme="majorHAnsi" w:ascii="Arial" w:hAnsi="Arial"/>
          <w:spacing w:val="-2"/>
        </w:rPr>
      </w:r>
    </w:p>
    <w:p>
      <w:pPr>
        <w:pStyle w:val="Normal"/>
        <w:spacing w:lineRule="auto" w:line="240"/>
        <w:jc w:val="both"/>
        <w:rPr>
          <w:rFonts w:ascii="Arial" w:hAnsi="Arial" w:cs="Arial" w:asciiTheme="majorHAnsi" w:cstheme="majorHAnsi" w:hAnsiTheme="majorHAnsi"/>
          <w:b/>
          <w:bCs/>
        </w:rPr>
      </w:pPr>
      <w:r>
        <w:rPr>
          <w:rFonts w:cs="Arial" w:ascii="Arial" w:hAnsi="Arial" w:asciiTheme="majorHAnsi" w:cstheme="majorHAnsi" w:hAnsiTheme="majorHAnsi"/>
          <w:b/>
          <w:bCs/>
        </w:rPr>
        <w:t>V. Wymagania do dynamicznego, automatycznego systemu wagowego dla pojazdu bezpyłowego:</w:t>
      </w:r>
    </w:p>
    <w:p>
      <w:pPr>
        <w:pStyle w:val="Normal"/>
        <w:spacing w:lineRule="auto" w:line="240"/>
        <w:jc w:val="both"/>
        <w:rPr>
          <w:rFonts w:ascii="Arial" w:hAnsi="Arial" w:cs="Arial" w:asciiTheme="majorHAnsi" w:cstheme="majorHAnsi" w:hAnsiTheme="majorHAnsi"/>
        </w:rPr>
      </w:pPr>
      <w:r>
        <w:rPr>
          <w:rFonts w:cs="Arial" w:ascii="Arial" w:hAnsi="Arial" w:asciiTheme="majorHAnsi" w:cstheme="majorHAnsi" w:hAnsiTheme="majorHAnsi"/>
        </w:rPr>
        <w:t>5.1. Pod pojęciem dynamicznego systemu wagowego (dalej system wagowy) należy rozumieć wagę automatyczną dla pojedynczych pojemników : komputer wagowy, komórki pomiarowe, czujniki wyzwalające, okablowanie łączące czujniki z komputerem, elementy mocujące. Podstawową częścią składową systemu jest komputer wagowy, do którego podłączone zostaną sygnały z czujników pomiarowych oraz pomocniczych czujników wyzwalających. Ilość i typ czujników wyzwalających niezbędnych do prawidłowej pracy systemu wagowego niezależnie od typu urządzenia załadowczego zobowiązany jest określić Wykonawca.</w:t>
      </w:r>
    </w:p>
    <w:p>
      <w:pPr>
        <w:pStyle w:val="Normal"/>
        <w:spacing w:lineRule="auto" w:line="240"/>
        <w:jc w:val="both"/>
        <w:rPr>
          <w:rFonts w:ascii="Arial" w:hAnsi="Arial" w:cs="Arial" w:asciiTheme="majorHAnsi" w:cstheme="majorHAnsi" w:hAnsiTheme="majorHAnsi"/>
        </w:rPr>
      </w:pPr>
      <w:r>
        <w:rPr>
          <w:rFonts w:cs="Arial" w:ascii="Arial" w:hAnsi="Arial" w:asciiTheme="majorHAnsi" w:cstheme="majorHAnsi" w:hAnsiTheme="majorHAnsi"/>
        </w:rPr>
        <w:t>5.2. System musi być dostosowany do urządzenia z zasypem tylnym z grzebieniem umocowanym na belce poprzecznej i ramionach składanych do pojemników o objętości od 120 l do 1100 l, ważenie pojemnika odbywa się w czasie procesu opróżniania pojemnika przez zasyp, bez potrzeby jego przerywania w celu osiągnięcia pomiaru wagi oraz bez konieczności wydłużania cyklu opróżniania pojemnika.</w:t>
      </w:r>
    </w:p>
    <w:p>
      <w:pPr>
        <w:pStyle w:val="Normal"/>
        <w:spacing w:lineRule="auto" w:line="240"/>
        <w:jc w:val="both"/>
        <w:rPr>
          <w:rFonts w:ascii="Arial" w:hAnsi="Arial" w:cs="Arial" w:asciiTheme="majorHAnsi" w:cstheme="majorHAnsi" w:hAnsiTheme="majorHAnsi"/>
        </w:rPr>
      </w:pPr>
      <w:r>
        <w:rPr>
          <w:rFonts w:cs="Arial" w:ascii="Arial" w:hAnsi="Arial" w:asciiTheme="majorHAnsi" w:cstheme="majorHAnsi" w:hAnsiTheme="majorHAnsi"/>
        </w:rPr>
        <w:t>5.3. System musi spełniać wymagania CE</w:t>
      </w:r>
    </w:p>
    <w:p>
      <w:pPr>
        <w:pStyle w:val="Normal"/>
        <w:spacing w:lineRule="auto" w:line="240"/>
        <w:jc w:val="both"/>
        <w:rPr>
          <w:rFonts w:ascii="Arial" w:hAnsi="Arial" w:cs="Arial" w:asciiTheme="majorHAnsi" w:cstheme="majorHAnsi" w:hAnsiTheme="majorHAnsi"/>
        </w:rPr>
      </w:pPr>
      <w:r>
        <w:rPr>
          <w:rFonts w:cs="Arial" w:ascii="Arial" w:hAnsi="Arial" w:asciiTheme="majorHAnsi" w:cstheme="majorHAnsi" w:hAnsiTheme="majorHAnsi"/>
        </w:rPr>
        <w:t>5.4. W przypadku jednoczesnego opróżniania więcej niż jednego pojemnika (o ile zasyp na to pozwala) system wagowy wskazuje pomiar masy odpadów odebranych z każdego pojemnika osobno.</w:t>
      </w:r>
    </w:p>
    <w:p>
      <w:pPr>
        <w:pStyle w:val="Normal"/>
        <w:spacing w:lineRule="auto" w:line="240"/>
        <w:jc w:val="both"/>
        <w:rPr>
          <w:rFonts w:ascii="Arial" w:hAnsi="Arial" w:cs="Arial" w:asciiTheme="majorHAnsi" w:cstheme="majorHAnsi" w:hAnsiTheme="majorHAnsi"/>
        </w:rPr>
      </w:pPr>
      <w:r>
        <w:rPr>
          <w:rFonts w:cs="Arial" w:ascii="Arial" w:hAnsi="Arial" w:asciiTheme="majorHAnsi" w:cstheme="majorHAnsi" w:hAnsiTheme="majorHAnsi"/>
        </w:rPr>
        <w:t>5.5. Wymagany stopień ochrony środowiskowej komponentów systemu to IP66 lub wyższy.</w:t>
      </w:r>
    </w:p>
    <w:p>
      <w:pPr>
        <w:pStyle w:val="Normal"/>
        <w:spacing w:lineRule="auto" w:line="240"/>
        <w:jc w:val="both"/>
        <w:rPr>
          <w:rFonts w:ascii="Arial" w:hAnsi="Arial" w:cs="Arial" w:asciiTheme="majorHAnsi" w:cstheme="majorHAnsi" w:hAnsiTheme="majorHAnsi"/>
        </w:rPr>
      </w:pPr>
      <w:r>
        <w:rPr>
          <w:rFonts w:cs="Arial" w:ascii="Arial" w:hAnsi="Arial" w:asciiTheme="majorHAnsi" w:cstheme="majorHAnsi" w:hAnsiTheme="majorHAnsi"/>
        </w:rPr>
        <w:t>5.6. System musi rejestrować masę odpadów dla każdego z uruchomień zasypu oddzielnie dla każdego pojemnika.</w:t>
      </w:r>
    </w:p>
    <w:p>
      <w:pPr>
        <w:pStyle w:val="Normal"/>
        <w:spacing w:lineRule="auto" w:line="240"/>
        <w:jc w:val="both"/>
        <w:rPr>
          <w:rFonts w:ascii="Arial" w:hAnsi="Arial" w:cs="Arial" w:asciiTheme="majorHAnsi" w:cstheme="majorHAnsi" w:hAnsiTheme="majorHAnsi"/>
        </w:rPr>
      </w:pPr>
      <w:r>
        <w:rPr>
          <w:rFonts w:cs="Arial" w:ascii="Arial" w:hAnsi="Arial" w:asciiTheme="majorHAnsi" w:cstheme="majorHAnsi" w:hAnsiTheme="majorHAnsi"/>
        </w:rPr>
        <w:t>5.7. Dokładność pomiaru systemu wagowego nie gorsza niż :</w:t>
      </w:r>
    </w:p>
    <w:p>
      <w:pPr>
        <w:pStyle w:val="Normal"/>
        <w:spacing w:lineRule="auto" w:line="240"/>
        <w:jc w:val="both"/>
        <w:rPr>
          <w:rFonts w:ascii="Arial" w:hAnsi="Arial" w:cs="Arial" w:asciiTheme="majorHAnsi" w:cstheme="majorHAnsi" w:hAnsiTheme="majorHAnsi"/>
        </w:rPr>
      </w:pPr>
      <w:r>
        <w:rPr>
          <w:rFonts w:eastAsia="Symbol" w:cs="Arial" w:ascii="Arial" w:hAnsi="Arial" w:asciiTheme="majorHAnsi" w:cstheme="majorHAnsi" w:hAnsiTheme="majorHAnsi"/>
        </w:rPr>
        <w:t>-</w:t>
      </w:r>
      <w:r>
        <w:rPr>
          <w:rFonts w:cs="Arial" w:ascii="Arial" w:hAnsi="Arial" w:asciiTheme="majorHAnsi" w:cstheme="majorHAnsi" w:hAnsiTheme="majorHAnsi"/>
        </w:rPr>
        <w:t xml:space="preserve"> przy załadunku pojemników dwukołowych wymaga się parametrów &lt; 2 kg</w:t>
      </w:r>
    </w:p>
    <w:p>
      <w:pPr>
        <w:pStyle w:val="Normal"/>
        <w:spacing w:lineRule="auto" w:line="240"/>
        <w:jc w:val="both"/>
        <w:rPr>
          <w:rFonts w:ascii="Arial" w:hAnsi="Arial" w:cs="Arial" w:asciiTheme="majorHAnsi" w:cstheme="majorHAnsi" w:hAnsiTheme="majorHAnsi"/>
        </w:rPr>
      </w:pPr>
      <w:r>
        <w:rPr>
          <w:rFonts w:eastAsia="Symbol" w:cs="Arial" w:ascii="Arial" w:hAnsi="Arial" w:asciiTheme="majorHAnsi" w:cstheme="majorHAnsi" w:hAnsiTheme="majorHAnsi"/>
        </w:rPr>
        <w:t>-</w:t>
      </w:r>
      <w:r>
        <w:rPr>
          <w:rFonts w:cs="Arial" w:ascii="Arial" w:hAnsi="Arial" w:asciiTheme="majorHAnsi" w:cstheme="majorHAnsi" w:hAnsiTheme="majorHAnsi"/>
        </w:rPr>
        <w:t xml:space="preserve"> przy załadunku pojemników czterokołowych wymaga się parametrów &lt; 5 kg .</w:t>
      </w:r>
    </w:p>
    <w:p>
      <w:pPr>
        <w:pStyle w:val="Normal"/>
        <w:spacing w:lineRule="auto" w:line="240"/>
        <w:jc w:val="both"/>
        <w:rPr>
          <w:rFonts w:ascii="Arial" w:hAnsi="Arial" w:cs="Arial" w:asciiTheme="majorHAnsi" w:cstheme="majorHAnsi" w:hAnsiTheme="majorHAnsi"/>
        </w:rPr>
      </w:pPr>
      <w:r>
        <w:rPr>
          <w:rFonts w:cs="Arial" w:ascii="Arial" w:hAnsi="Arial" w:asciiTheme="majorHAnsi" w:cstheme="majorHAnsi" w:hAnsiTheme="majorHAnsi"/>
        </w:rPr>
        <w:t>5.8. Czujniki obciążenia są wykonane ze stali nierdzewnej (bez aluminium)i odporne na działanie środków chemicznych stosowanych do utrzymania dróg oraz obecnych w odbieranych odpadach.</w:t>
      </w:r>
    </w:p>
    <w:p>
      <w:pPr>
        <w:pStyle w:val="Normal"/>
        <w:spacing w:lineRule="auto" w:line="240"/>
        <w:jc w:val="both"/>
        <w:rPr>
          <w:rFonts w:ascii="Arial" w:hAnsi="Arial" w:cs="Arial" w:asciiTheme="majorHAnsi" w:cstheme="majorHAnsi" w:hAnsiTheme="majorHAnsi"/>
        </w:rPr>
      </w:pPr>
      <w:r>
        <w:rPr>
          <w:rFonts w:cs="Arial" w:ascii="Arial" w:hAnsi="Arial" w:asciiTheme="majorHAnsi" w:cstheme="majorHAnsi" w:hAnsiTheme="majorHAnsi"/>
        </w:rPr>
        <w:t>5.9. System wagowy uwzględnia możliwość 100 % przeciążenia.</w:t>
      </w:r>
    </w:p>
    <w:p>
      <w:pPr>
        <w:pStyle w:val="Normal"/>
        <w:spacing w:lineRule="auto" w:line="240"/>
        <w:jc w:val="both"/>
        <w:rPr>
          <w:rFonts w:ascii="Arial" w:hAnsi="Arial" w:cs="Arial" w:asciiTheme="majorHAnsi" w:cstheme="majorHAnsi" w:hAnsiTheme="majorHAnsi"/>
        </w:rPr>
      </w:pPr>
      <w:r>
        <w:rPr>
          <w:rFonts w:cs="Arial" w:ascii="Arial" w:hAnsi="Arial" w:asciiTheme="majorHAnsi" w:cstheme="majorHAnsi" w:hAnsiTheme="majorHAnsi"/>
        </w:rPr>
        <w:t>5.10. System wagowy posiada wewnętrzny zegar z datą i godziną.</w:t>
      </w:r>
    </w:p>
    <w:p>
      <w:pPr>
        <w:pStyle w:val="Normal"/>
        <w:spacing w:lineRule="auto" w:line="240"/>
        <w:jc w:val="both"/>
        <w:rPr>
          <w:rFonts w:ascii="Arial" w:hAnsi="Arial" w:cs="Arial" w:asciiTheme="majorHAnsi" w:cstheme="majorHAnsi" w:hAnsiTheme="majorHAnsi"/>
        </w:rPr>
      </w:pPr>
      <w:r>
        <w:rPr>
          <w:rFonts w:cs="Arial" w:ascii="Arial" w:hAnsi="Arial" w:asciiTheme="majorHAnsi" w:cstheme="majorHAnsi" w:hAnsiTheme="majorHAnsi"/>
        </w:rPr>
        <w:t>5.11. System wagowy posiada wyświetlacz na którym są wyświetlane aktualne wskazania zegara wewnętrznego oraz wartość ostatniego ważenia.</w:t>
      </w:r>
    </w:p>
    <w:p>
      <w:pPr>
        <w:pStyle w:val="Normal"/>
        <w:spacing w:lineRule="auto" w:line="240"/>
        <w:jc w:val="both"/>
        <w:rPr>
          <w:rFonts w:ascii="Arial" w:hAnsi="Arial" w:cs="Arial" w:asciiTheme="majorHAnsi" w:cstheme="majorHAnsi" w:hAnsiTheme="majorHAnsi"/>
        </w:rPr>
      </w:pPr>
      <w:r>
        <w:rPr>
          <w:rFonts w:cs="Arial" w:ascii="Arial" w:hAnsi="Arial" w:asciiTheme="majorHAnsi" w:cstheme="majorHAnsi" w:hAnsiTheme="majorHAnsi"/>
        </w:rPr>
        <w:t>5.12. System wagowy posiada pamięć wewnętrzną pozwalającą na przechowywanie informacji o co najmniej 10 000 ostatnich ważeniach z możliwością jej prostego odczytania w komputerze klasy PC,</w:t>
      </w:r>
    </w:p>
    <w:p>
      <w:pPr>
        <w:pStyle w:val="Normal"/>
        <w:spacing w:lineRule="auto" w:line="240"/>
        <w:jc w:val="both"/>
        <w:rPr>
          <w:rFonts w:ascii="Arial" w:hAnsi="Arial" w:cs="Arial" w:asciiTheme="majorHAnsi" w:cstheme="majorHAnsi" w:hAnsiTheme="majorHAnsi"/>
        </w:rPr>
      </w:pPr>
      <w:r>
        <w:rPr>
          <w:rFonts w:cs="Arial" w:ascii="Arial" w:hAnsi="Arial" w:asciiTheme="majorHAnsi" w:cstheme="majorHAnsi" w:hAnsiTheme="majorHAnsi"/>
        </w:rPr>
        <w:t>5.13. W pamięci o której mowa wyżej przechowywane muszą być co najmniej informacje o dacie i godzinie wykonania ważenia, unikalny identyfikator ważenia (np. kolejny numer) wartość netto ważenia oraz informacja pozwalająca ustalić w jakim trybie pracował system wagowy, brak zasilania wagi nie wpływa na zawartość pamięci.</w:t>
      </w:r>
    </w:p>
    <w:p>
      <w:pPr>
        <w:pStyle w:val="Normal"/>
        <w:spacing w:lineRule="auto" w:line="240"/>
        <w:jc w:val="both"/>
        <w:rPr>
          <w:rFonts w:ascii="Arial" w:hAnsi="Arial" w:cs="Arial" w:asciiTheme="majorHAnsi" w:cstheme="majorHAnsi" w:hAnsiTheme="majorHAnsi"/>
        </w:rPr>
      </w:pPr>
      <w:r>
        <w:rPr>
          <w:rFonts w:cs="Arial" w:ascii="Arial" w:hAnsi="Arial" w:asciiTheme="majorHAnsi" w:cstheme="majorHAnsi" w:hAnsiTheme="majorHAnsi"/>
        </w:rPr>
        <w:t>5.14. System wagowy, ze wszystkimi składowymi, tj. wymienioną pamięcią wewnętrzną posiada certyfikat badania typu UE zgodnie z Dyrektywą Parlamentu Europejskiego i Rady 2014/32/UE .</w:t>
      </w:r>
    </w:p>
    <w:p>
      <w:pPr>
        <w:pStyle w:val="Normal"/>
        <w:spacing w:lineRule="auto" w:line="240"/>
        <w:jc w:val="both"/>
        <w:rPr>
          <w:rFonts w:ascii="Arial" w:hAnsi="Arial" w:cs="Arial" w:asciiTheme="majorHAnsi" w:cstheme="majorHAnsi" w:hAnsiTheme="majorHAnsi"/>
        </w:rPr>
      </w:pPr>
      <w:r>
        <w:rPr>
          <w:rFonts w:cs="Arial" w:ascii="Arial" w:hAnsi="Arial" w:asciiTheme="majorHAnsi" w:cstheme="majorHAnsi" w:hAnsiTheme="majorHAnsi"/>
        </w:rPr>
        <w:t> </w:t>
      </w:r>
    </w:p>
    <w:p>
      <w:pPr>
        <w:pStyle w:val="Normal"/>
        <w:spacing w:lineRule="auto" w:line="240"/>
        <w:jc w:val="both"/>
        <w:rPr>
          <w:rFonts w:ascii="Arial" w:hAnsi="Arial" w:cs="Arial" w:asciiTheme="majorHAnsi" w:cstheme="majorHAnsi" w:hAnsiTheme="majorHAnsi"/>
          <w:b/>
          <w:bCs/>
        </w:rPr>
      </w:pPr>
      <w:r>
        <w:rPr>
          <w:rFonts w:cs="Arial" w:ascii="Arial" w:hAnsi="Arial" w:asciiTheme="majorHAnsi" w:cstheme="majorHAnsi" w:hAnsiTheme="majorHAnsi"/>
          <w:b/>
          <w:bCs/>
        </w:rPr>
        <w:t>VI. Wymagania systemu rejestracji obrazu:</w:t>
      </w:r>
    </w:p>
    <w:p>
      <w:pPr>
        <w:pStyle w:val="Normal"/>
        <w:spacing w:lineRule="auto" w:line="240"/>
        <w:jc w:val="both"/>
        <w:rPr>
          <w:rFonts w:ascii="Arial" w:hAnsi="Arial" w:cs="Arial" w:asciiTheme="majorHAnsi" w:cstheme="majorHAnsi" w:hAnsiTheme="majorHAnsi"/>
        </w:rPr>
      </w:pPr>
      <w:r>
        <w:rPr>
          <w:rFonts w:cs="Arial" w:ascii="Arial" w:hAnsi="Arial" w:asciiTheme="majorHAnsi" w:cstheme="majorHAnsi" w:hAnsiTheme="majorHAnsi"/>
        </w:rPr>
        <w:t>6.1. System rejestracji obrazu pozwala na podłączenie 4 kamer (przód, tył, boki).</w:t>
      </w:r>
    </w:p>
    <w:p>
      <w:pPr>
        <w:pStyle w:val="Normal"/>
        <w:spacing w:lineRule="auto" w:line="240"/>
        <w:jc w:val="both"/>
        <w:rPr>
          <w:rFonts w:ascii="Arial" w:hAnsi="Arial" w:cs="Arial" w:asciiTheme="majorHAnsi" w:cstheme="majorHAnsi" w:hAnsiTheme="majorHAnsi"/>
        </w:rPr>
      </w:pPr>
      <w:r>
        <w:rPr>
          <w:rFonts w:cs="Arial" w:ascii="Arial" w:hAnsi="Arial" w:asciiTheme="majorHAnsi" w:cstheme="majorHAnsi" w:hAnsiTheme="majorHAnsi"/>
        </w:rPr>
        <w:t>6.2. Każda kamera posiada stopień ochrony środowiskowej IP65 lub wyższy.</w:t>
      </w:r>
    </w:p>
    <w:p>
      <w:pPr>
        <w:pStyle w:val="Normal"/>
        <w:spacing w:lineRule="auto" w:line="240"/>
        <w:jc w:val="both"/>
        <w:rPr>
          <w:rFonts w:ascii="Arial" w:hAnsi="Arial" w:cs="Arial" w:asciiTheme="majorHAnsi" w:cstheme="majorHAnsi" w:hAnsiTheme="majorHAnsi"/>
        </w:rPr>
      </w:pPr>
      <w:r>
        <w:rPr>
          <w:rFonts w:cs="Arial" w:ascii="Arial" w:hAnsi="Arial" w:asciiTheme="majorHAnsi" w:cstheme="majorHAnsi" w:hAnsiTheme="majorHAnsi"/>
        </w:rPr>
        <w:t>6.3. Możliwość rejestracji w nocy/przy słabych warunkach oświetleniowych.</w:t>
      </w:r>
    </w:p>
    <w:p>
      <w:pPr>
        <w:pStyle w:val="Normal"/>
        <w:spacing w:lineRule="auto" w:line="240"/>
        <w:jc w:val="both"/>
        <w:rPr>
          <w:rFonts w:ascii="Arial" w:hAnsi="Arial" w:cs="Arial" w:asciiTheme="majorHAnsi" w:cstheme="majorHAnsi" w:hAnsiTheme="majorHAnsi"/>
        </w:rPr>
      </w:pPr>
      <w:r>
        <w:rPr>
          <w:rFonts w:cs="Arial" w:ascii="Arial" w:hAnsi="Arial" w:asciiTheme="majorHAnsi" w:cstheme="majorHAnsi" w:hAnsiTheme="majorHAnsi"/>
        </w:rPr>
        <w:t>6.4. System rejestracji obrazu musi posiadać bufor pamięci pozwalający na obsługę przypadku, gdy pojazd znajdzie się w obszarze o zasięgu sieci GSM nie pozwalającym na przesyłanie do systemu informatycznego rejestrowanego materiału na bieżąco.</w:t>
      </w:r>
    </w:p>
    <w:p>
      <w:pPr>
        <w:pStyle w:val="Normal"/>
        <w:spacing w:lineRule="auto" w:line="240"/>
        <w:jc w:val="both"/>
        <w:rPr>
          <w:rFonts w:ascii="Arial" w:hAnsi="Arial" w:cs="Arial" w:asciiTheme="majorHAnsi" w:cstheme="majorHAnsi" w:hAnsiTheme="majorHAnsi"/>
        </w:rPr>
      </w:pPr>
      <w:r>
        <w:rPr>
          <w:rFonts w:cs="Arial" w:ascii="Arial" w:hAnsi="Arial" w:asciiTheme="majorHAnsi" w:cstheme="majorHAnsi" w:hAnsiTheme="majorHAnsi"/>
        </w:rPr>
        <w:t>6.5. Montaż kamer na pojeździe oraz ich kąt widzenia muszą pozwalać na rejestrację obrazu z pełnym pokryciem otoczenia pojazdu, z możliwością analizy sytuacji związanej z procesem odbioru odpadów.</w:t>
      </w:r>
    </w:p>
    <w:p>
      <w:pPr>
        <w:pStyle w:val="Normal"/>
        <w:spacing w:lineRule="auto" w:line="240"/>
        <w:jc w:val="both"/>
        <w:rPr>
          <w:rFonts w:ascii="Arial" w:hAnsi="Arial" w:cs="Arial" w:asciiTheme="majorHAnsi" w:cstheme="majorHAnsi" w:hAnsiTheme="majorHAnsi"/>
        </w:rPr>
      </w:pPr>
      <w:r>
        <w:rPr>
          <w:rFonts w:cs="Arial" w:ascii="Arial" w:hAnsi="Arial" w:asciiTheme="majorHAnsi" w:cstheme="majorHAnsi" w:hAnsiTheme="majorHAnsi"/>
        </w:rPr>
        <w:t>6.6. Wymaga się by system rejestrował obraz z każdej sekundy pracy pojazdu.</w:t>
      </w:r>
    </w:p>
    <w:p>
      <w:pPr>
        <w:pStyle w:val="Normal"/>
        <w:spacing w:lineRule="auto" w:line="240"/>
        <w:jc w:val="both"/>
        <w:rPr>
          <w:rFonts w:ascii="Arial" w:hAnsi="Arial" w:cs="Arial" w:asciiTheme="majorHAnsi" w:cstheme="majorHAnsi" w:hAnsiTheme="majorHAnsi"/>
        </w:rPr>
      </w:pPr>
      <w:r>
        <w:rPr>
          <w:rFonts w:cs="Arial" w:ascii="Arial" w:hAnsi="Arial" w:asciiTheme="majorHAnsi" w:cstheme="majorHAnsi" w:hAnsiTheme="majorHAnsi"/>
        </w:rPr>
        <w:t>6.7. Rozdzielczość rejestrowanego obrazu nie mniejsza niż FHD.</w:t>
      </w:r>
    </w:p>
    <w:p>
      <w:pPr>
        <w:pStyle w:val="Normal"/>
        <w:spacing w:lineRule="auto" w:line="240"/>
        <w:jc w:val="both"/>
        <w:rPr>
          <w:rFonts w:ascii="Arial" w:hAnsi="Arial" w:cs="Arial" w:asciiTheme="majorHAnsi" w:cstheme="majorHAnsi" w:hAnsiTheme="majorHAnsi"/>
        </w:rPr>
      </w:pPr>
      <w:r>
        <w:rPr>
          <w:rFonts w:cs="Arial" w:ascii="Arial" w:hAnsi="Arial" w:asciiTheme="majorHAnsi" w:cstheme="majorHAnsi" w:hAnsiTheme="majorHAnsi"/>
        </w:rPr>
        <w:t>6.8. Rejestrowany obraz musi posiadać naniesioną informację o dacie i czasie (godzina, minuta, sekunda) rejestracji każdej klatki obrazu.</w:t>
      </w:r>
    </w:p>
    <w:p>
      <w:pPr>
        <w:pStyle w:val="Normal"/>
        <w:spacing w:lineRule="auto" w:line="240"/>
        <w:jc w:val="both"/>
        <w:rPr>
          <w:rFonts w:ascii="Arial" w:hAnsi="Arial" w:cs="Arial" w:asciiTheme="majorHAnsi" w:cstheme="majorHAnsi" w:hAnsiTheme="majorHAnsi"/>
        </w:rPr>
      </w:pPr>
      <w:r>
        <w:rPr>
          <w:rFonts w:cs="Arial" w:ascii="Arial" w:hAnsi="Arial" w:asciiTheme="majorHAnsi" w:cstheme="majorHAnsi" w:hAnsiTheme="majorHAnsi"/>
          <w:spacing w:val="-2"/>
        </w:rPr>
        <w:t>6.9. Rejestrowany obraz musi być częścią danych archiwalnych pojazdu, na którym zainstalowano system rejestracji obrazu wraz z pozostałymi elementami Infrastruktury Technicznej.</w:t>
      </w:r>
    </w:p>
    <w:p>
      <w:pPr>
        <w:pStyle w:val="Normal"/>
        <w:spacing w:lineRule="auto" w:line="240"/>
        <w:jc w:val="both"/>
        <w:rPr>
          <w:rFonts w:ascii="Arial" w:hAnsi="Arial" w:cs="Arial" w:asciiTheme="majorHAnsi" w:cstheme="majorHAnsi" w:hAnsiTheme="majorHAnsi"/>
          <w:b/>
          <w:bCs/>
          <w:spacing w:val="-2"/>
        </w:rPr>
      </w:pPr>
      <w:r>
        <w:rPr>
          <w:rFonts w:cs="Arial" w:cstheme="majorHAnsi" w:ascii="Arial" w:hAnsi="Arial"/>
          <w:b/>
          <w:bCs/>
          <w:spacing w:val="-2"/>
        </w:rPr>
      </w:r>
    </w:p>
    <w:p>
      <w:pPr>
        <w:pStyle w:val="Normal"/>
        <w:spacing w:lineRule="auto" w:line="240"/>
        <w:jc w:val="both"/>
        <w:rPr>
          <w:rFonts w:ascii="Arial" w:hAnsi="Arial" w:cs="Arial" w:asciiTheme="majorHAnsi" w:cstheme="majorHAnsi" w:hAnsiTheme="majorHAnsi"/>
        </w:rPr>
      </w:pPr>
      <w:r>
        <w:rPr>
          <w:rFonts w:cs="Arial" w:ascii="Arial" w:hAnsi="Arial" w:asciiTheme="majorHAnsi" w:cstheme="majorHAnsi" w:hAnsiTheme="majorHAnsi"/>
          <w:b/>
          <w:bCs/>
          <w:spacing w:val="-2"/>
        </w:rPr>
        <w:t>VII. Gwarancja</w:t>
      </w:r>
      <w:r>
        <w:rPr>
          <w:rFonts w:cs="Arial" w:ascii="Arial" w:hAnsi="Arial" w:asciiTheme="majorHAnsi" w:cstheme="majorHAnsi" w:hAnsiTheme="majorHAnsi"/>
          <w:spacing w:val="-2"/>
        </w:rPr>
        <w:t xml:space="preserve"> </w:t>
      </w:r>
    </w:p>
    <w:p>
      <w:pPr>
        <w:pStyle w:val="Normal"/>
        <w:spacing w:lineRule="auto" w:line="240"/>
        <w:jc w:val="both"/>
        <w:rPr>
          <w:rFonts w:ascii="Arial" w:hAnsi="Arial" w:cs="Arial" w:asciiTheme="majorHAnsi" w:cstheme="majorHAnsi" w:hAnsiTheme="majorHAnsi"/>
        </w:rPr>
      </w:pPr>
      <w:r>
        <w:rPr>
          <w:rFonts w:cs="Arial" w:ascii="Arial" w:hAnsi="Arial" w:asciiTheme="majorHAnsi" w:cstheme="majorHAnsi" w:hAnsiTheme="majorHAnsi"/>
          <w:spacing w:val="-2"/>
        </w:rPr>
        <w:t>7.1. Okres gwarancji minimum 3 lata na całość pojazdu liczony od dnia przekazania pojazdu zamawiającemu.</w:t>
      </w:r>
    </w:p>
    <w:p>
      <w:pPr>
        <w:pStyle w:val="Normal"/>
        <w:spacing w:lineRule="auto" w:line="240"/>
        <w:jc w:val="both"/>
        <w:rPr>
          <w:rFonts w:ascii="Arial" w:hAnsi="Arial" w:cs="Arial" w:asciiTheme="majorHAnsi" w:cstheme="majorHAnsi" w:hAnsiTheme="majorHAnsi"/>
        </w:rPr>
      </w:pPr>
      <w:r>
        <w:rPr>
          <w:rFonts w:cs="Arial" w:ascii="Arial" w:hAnsi="Arial" w:asciiTheme="majorHAnsi" w:cstheme="majorHAnsi" w:hAnsiTheme="majorHAnsi"/>
          <w:spacing w:val="-2"/>
        </w:rPr>
        <w:t xml:space="preserve">7.2. Wykonawca zapewnia bezpłatne serwisowanie przedmiotu umowy w okresie gwarancji. Serwis gwarancyjny stacjonarny będzie znajdował się w odległości maksymalnej 75 km od siedziby Zamawiającego. Wykonawca we własnym zakresie zapewnia transport pojazdu do serwisu.   </w:t>
      </w:r>
    </w:p>
    <w:p>
      <w:pPr>
        <w:pStyle w:val="Normal"/>
        <w:spacing w:lineRule="auto" w:line="240"/>
        <w:jc w:val="both"/>
        <w:rPr>
          <w:rFonts w:ascii="Arial" w:hAnsi="Arial" w:cs="Arial" w:asciiTheme="majorHAnsi" w:cstheme="majorHAnsi" w:hAnsiTheme="majorHAnsi"/>
        </w:rPr>
      </w:pPr>
      <w:r>
        <w:rPr>
          <w:rFonts w:cs="Arial" w:ascii="Arial" w:hAnsi="Arial" w:asciiTheme="majorHAnsi" w:cstheme="majorHAnsi" w:hAnsiTheme="majorHAnsi"/>
          <w:spacing w:val="-2"/>
        </w:rPr>
        <w:t xml:space="preserve">7.3. Bezpłatne naprawy obejmują koszty wszystkich zużytych materiałów i części zamiennych a także koszty robocizny oraz koszty przeglądów serwisowych i napraw bieżących, które nie wynikły z winy Zamawiającego. </w:t>
      </w:r>
    </w:p>
    <w:p>
      <w:pPr>
        <w:pStyle w:val="Normal"/>
        <w:spacing w:lineRule="auto" w:line="240"/>
        <w:jc w:val="both"/>
        <w:rPr>
          <w:rFonts w:ascii="Arial" w:hAnsi="Arial" w:cs="Arial" w:asciiTheme="majorHAnsi" w:cstheme="majorHAnsi" w:hAnsiTheme="majorHAnsi"/>
        </w:rPr>
      </w:pPr>
      <w:r>
        <w:rPr>
          <w:rFonts w:cs="Arial" w:ascii="Arial" w:hAnsi="Arial" w:asciiTheme="majorHAnsi" w:cstheme="majorHAnsi" w:hAnsiTheme="majorHAnsi"/>
          <w:spacing w:val="-2"/>
        </w:rPr>
        <w:t xml:space="preserve">7.4. Wykonawca zobowiązany jest w okresie trwania gwarancji: − do naprawy wady fizycznej przedmiotu umowy, − powstanie oraz usunięcie wad przedmiotu umowy, musi być potwierdzone protokolarnie. Wymagane warunki napraw gwarancyjnych: zgodnie z Umową stanowiącą zał. nr …… do SWZ. </w:t>
      </w:r>
    </w:p>
    <w:p>
      <w:pPr>
        <w:pStyle w:val="Normal"/>
        <w:spacing w:lineRule="auto" w:line="240"/>
        <w:jc w:val="both"/>
        <w:rPr>
          <w:rFonts w:ascii="Arial" w:hAnsi="Arial" w:cs="Arial" w:asciiTheme="majorHAnsi" w:cstheme="majorHAnsi" w:hAnsiTheme="majorHAnsi"/>
        </w:rPr>
      </w:pPr>
      <w:r>
        <w:rPr>
          <w:rFonts w:cs="Arial" w:ascii="Arial" w:hAnsi="Arial" w:asciiTheme="majorHAnsi" w:cstheme="majorHAnsi" w:hAnsiTheme="majorHAnsi"/>
          <w:spacing w:val="-2"/>
        </w:rPr>
        <w:t>7.5. O powstałych wadach i usterkach przedmiotu umowy Zamawiający w celu realizacji przysługujących mu uprawnień zawiadamia Wykonawcę: telefonicznie, pisemnie lub pocztą elektroniczną.</w:t>
      </w:r>
    </w:p>
    <w:p>
      <w:pPr>
        <w:pStyle w:val="Normal"/>
        <w:spacing w:lineRule="auto" w:line="240"/>
        <w:jc w:val="both"/>
        <w:rPr>
          <w:rFonts w:ascii="Arial" w:hAnsi="Arial" w:cs="Arial" w:asciiTheme="majorHAnsi" w:cstheme="majorHAnsi" w:hAnsiTheme="majorHAnsi"/>
        </w:rPr>
      </w:pPr>
      <w:r>
        <w:rPr>
          <w:rFonts w:cs="Arial" w:ascii="Arial" w:hAnsi="Arial" w:asciiTheme="majorHAnsi" w:cstheme="majorHAnsi" w:hAnsiTheme="majorHAnsi"/>
          <w:spacing w:val="-2"/>
        </w:rPr>
        <w:t>7.6. Wykonawca zobowiązany jest do bezpłatnego usunięcia wszelkich usterek powstałych lub ujawnionych w okresie trwania gwarancji.</w:t>
      </w:r>
    </w:p>
    <w:p>
      <w:pPr>
        <w:pStyle w:val="Normal"/>
        <w:spacing w:lineRule="auto" w:line="240"/>
        <w:jc w:val="both"/>
        <w:rPr>
          <w:rFonts w:ascii="Arial" w:hAnsi="Arial" w:cs="Arial" w:asciiTheme="majorHAnsi" w:cstheme="majorHAnsi" w:hAnsiTheme="majorHAnsi"/>
        </w:rPr>
      </w:pPr>
      <w:r>
        <w:rPr>
          <w:rFonts w:cs="Arial" w:ascii="Arial" w:hAnsi="Arial" w:asciiTheme="majorHAnsi" w:cstheme="majorHAnsi" w:hAnsiTheme="majorHAnsi"/>
          <w:b/>
          <w:bCs/>
          <w:spacing w:val="-2"/>
        </w:rPr>
        <w:t xml:space="preserve">VIII. Pozostałe wymagania: </w:t>
      </w:r>
    </w:p>
    <w:p>
      <w:pPr>
        <w:pStyle w:val="Normal"/>
        <w:spacing w:lineRule="auto" w:line="240"/>
        <w:jc w:val="both"/>
        <w:rPr>
          <w:rFonts w:ascii="Arial" w:hAnsi="Arial" w:cs="Arial" w:asciiTheme="majorHAnsi" w:cstheme="majorHAnsi" w:hAnsiTheme="majorHAnsi"/>
        </w:rPr>
      </w:pPr>
      <w:r>
        <w:rPr>
          <w:rFonts w:cs="Arial" w:ascii="Arial" w:hAnsi="Arial" w:asciiTheme="majorHAnsi" w:cstheme="majorHAnsi" w:hAnsiTheme="majorHAnsi"/>
          <w:spacing w:val="-2"/>
        </w:rPr>
        <w:t xml:space="preserve">8.1. Wykonawca przedłoży w trakcie odbioru komplet niezbędnych dokumentów do zarejestrowania pojazdu na terenie RP. </w:t>
      </w:r>
    </w:p>
    <w:p>
      <w:pPr>
        <w:pStyle w:val="Normal"/>
        <w:spacing w:lineRule="auto" w:line="240"/>
        <w:jc w:val="both"/>
        <w:rPr>
          <w:rFonts w:ascii="Arial" w:hAnsi="Arial" w:cs="Arial" w:asciiTheme="majorHAnsi" w:cstheme="majorHAnsi" w:hAnsiTheme="majorHAnsi"/>
        </w:rPr>
      </w:pPr>
      <w:r>
        <w:rPr>
          <w:rFonts w:cs="Arial" w:ascii="Arial" w:hAnsi="Arial" w:asciiTheme="majorHAnsi" w:cstheme="majorHAnsi" w:hAnsiTheme="majorHAnsi"/>
          <w:spacing w:val="-2"/>
        </w:rPr>
        <w:t xml:space="preserve">8.2. Pojazd dostarczyć do bazy transportowej Zakładu Gospodarki Komunalnej Sp. z o.o. ul. Stefana Batorego 24, 34 – 120 Andrychów, w godzinach 07:00 – 12:00. Koszt dostawy do siedziby Zamawiającego pokrywa Wykonawca. </w:t>
      </w:r>
    </w:p>
    <w:p>
      <w:pPr>
        <w:pStyle w:val="Normal"/>
        <w:tabs>
          <w:tab w:val="clear" w:pos="708"/>
          <w:tab w:val="left" w:pos="1357" w:leader="none"/>
        </w:tabs>
        <w:spacing w:lineRule="auto" w:line="240"/>
        <w:jc w:val="both"/>
        <w:rPr>
          <w:rFonts w:ascii="Arial" w:hAnsi="Arial" w:cs="Arial" w:asciiTheme="majorHAnsi" w:cstheme="majorHAnsi" w:hAnsiTheme="majorHAnsi"/>
        </w:rPr>
      </w:pPr>
      <w:r>
        <w:rPr>
          <w:rFonts w:cs="Arial" w:ascii="Arial" w:hAnsi="Arial" w:asciiTheme="majorHAnsi" w:cstheme="majorHAnsi" w:hAnsiTheme="majorHAnsi"/>
          <w:spacing w:val="-2"/>
        </w:rPr>
        <w:t xml:space="preserve">8.3. Wykonawca w dniu dostawy zobowiązany jest do przeprowadzeni nieodpłatnego szkolenia pracowników Zamawiającego z zakresu obsługi  i eksploatacji pojazdu oraz zainstalowanych                w nim urządzeń. </w:t>
      </w:r>
    </w:p>
    <w:p>
      <w:pPr>
        <w:pStyle w:val="Normal"/>
        <w:tabs>
          <w:tab w:val="clear" w:pos="708"/>
          <w:tab w:val="left" w:pos="1357" w:leader="none"/>
        </w:tabs>
        <w:spacing w:lineRule="auto" w:line="240"/>
        <w:jc w:val="both"/>
        <w:rPr>
          <w:rFonts w:ascii="Arial" w:hAnsi="Arial" w:cs="Arial" w:asciiTheme="majorHAnsi" w:cstheme="majorHAnsi" w:hAnsiTheme="majorHAnsi"/>
        </w:rPr>
      </w:pPr>
      <w:r>
        <w:rPr>
          <w:rFonts w:cs="Arial" w:ascii="Arial" w:hAnsi="Arial" w:asciiTheme="majorHAnsi" w:cstheme="majorHAnsi" w:hAnsiTheme="majorHAnsi"/>
          <w:spacing w:val="-2"/>
        </w:rPr>
        <w:t>8.</w:t>
      </w:r>
      <w:r>
        <w:rPr>
          <w:rFonts w:cs="Arial" w:ascii="Arial" w:hAnsi="Arial" w:asciiTheme="majorHAnsi" w:cstheme="majorHAnsi" w:hAnsiTheme="majorHAnsi"/>
          <w:color w:val="auto"/>
          <w:spacing w:val="-2"/>
        </w:rPr>
        <w:t xml:space="preserve">4. </w:t>
      </w:r>
      <w:r>
        <w:rPr>
          <w:rFonts w:cs="Arial" w:ascii="Arial" w:hAnsi="Arial" w:asciiTheme="majorHAnsi" w:cstheme="majorHAnsi" w:hAnsiTheme="majorHAnsi"/>
        </w:rPr>
        <w:t>Wykonawca spełni warunek udziału w postępowaniu w zakresie zdolności technicznej lub zawodowej, jeżeli wykaże, że wykonał co najmniej 1 dostawę zbliżoną przedmiotem do przedmiotu zamówienia o wartości co najmniej 600.000 zł netto, w okresie ostatnich trzech lat przed upływem terminu składania ofert w postępowaniu, a jeżeli okres prowadzenia działalności jest krótszy – w tym okresie, wraz z podaniem ich wartości, przedmiotu, dat wykonania i podmiotów, na rzecz których dostawy zostały wykonane.</w:t>
      </w:r>
    </w:p>
    <w:p>
      <w:pPr>
        <w:pStyle w:val="Normal"/>
        <w:tabs>
          <w:tab w:val="clear" w:pos="708"/>
          <w:tab w:val="left" w:pos="1357" w:leader="none"/>
        </w:tabs>
        <w:spacing w:lineRule="auto" w:line="240"/>
        <w:jc w:val="both"/>
        <w:rPr>
          <w:rFonts w:ascii="Arial" w:hAnsi="Arial" w:cs="Arial" w:asciiTheme="majorHAnsi" w:cstheme="majorHAnsi" w:hAnsiTheme="majorHAnsi"/>
          <w:color w:val="auto"/>
          <w:spacing w:val="-2"/>
        </w:rPr>
      </w:pPr>
      <w:r>
        <w:rPr>
          <w:rFonts w:cs="Arial" w:ascii="Arial" w:hAnsi="Arial" w:asciiTheme="majorHAnsi" w:cstheme="majorHAnsi" w:hAnsiTheme="majorHAnsi"/>
          <w:spacing w:val="-2"/>
        </w:rPr>
        <w:t>8.</w:t>
      </w:r>
      <w:r>
        <w:rPr>
          <w:rFonts w:cs="Arial" w:ascii="Arial" w:hAnsi="Arial" w:asciiTheme="majorHAnsi" w:cstheme="majorHAnsi" w:hAnsiTheme="majorHAnsi"/>
          <w:color w:val="auto"/>
          <w:spacing w:val="-2"/>
        </w:rPr>
        <w:t>5. Wykonawca przedłoży Certyfikat Euro-6 dla podwozia śmieciarki.</w:t>
      </w:r>
    </w:p>
    <w:p>
      <w:pPr>
        <w:pStyle w:val="Normal"/>
        <w:tabs>
          <w:tab w:val="clear" w:pos="708"/>
          <w:tab w:val="left" w:pos="1357" w:leader="none"/>
        </w:tabs>
        <w:spacing w:lineRule="auto" w:line="240"/>
        <w:jc w:val="both"/>
        <w:rPr>
          <w:rFonts w:ascii="Arial" w:hAnsi="Arial" w:cs="Arial" w:asciiTheme="majorHAnsi" w:cstheme="majorHAnsi" w:hAnsiTheme="majorHAnsi"/>
          <w:color w:val="auto"/>
          <w:spacing w:val="-2"/>
        </w:rPr>
      </w:pPr>
      <w:r>
        <w:rPr>
          <w:rFonts w:cs="Arial" w:ascii="Arial" w:hAnsi="Arial" w:asciiTheme="majorHAnsi" w:cstheme="majorHAnsi" w:hAnsiTheme="majorHAnsi"/>
          <w:color w:val="auto"/>
          <w:spacing w:val="-2"/>
        </w:rPr>
        <w:t>8.6. Wykonawca przedłoży schemat elektryczny zabudowy śmieciarki.</w:t>
      </w:r>
    </w:p>
    <w:p>
      <w:pPr>
        <w:pStyle w:val="Normal"/>
        <w:tabs>
          <w:tab w:val="clear" w:pos="708"/>
          <w:tab w:val="left" w:pos="1357" w:leader="none"/>
        </w:tabs>
        <w:spacing w:lineRule="auto" w:line="240" w:before="0" w:after="160"/>
        <w:jc w:val="both"/>
        <w:rPr>
          <w:rFonts w:ascii="Arial" w:hAnsi="Arial" w:cs="Arial" w:asciiTheme="majorHAnsi" w:cstheme="majorHAnsi" w:hAnsiTheme="majorHAnsi"/>
        </w:rPr>
      </w:pPr>
      <w:r>
        <w:rPr>
          <w:rFonts w:cs="Arial" w:ascii="Arial" w:hAnsi="Arial" w:asciiTheme="majorHAnsi" w:cstheme="majorHAnsi" w:hAnsiTheme="majorHAnsi"/>
          <w:color w:val="auto"/>
          <w:spacing w:val="-2"/>
        </w:rPr>
        <w:t>8.7. Termin realizacji zamówienia: 30 dni od podpisania umowy.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417" w:right="1417" w:gutter="0" w:header="708" w:top="1985" w:footer="708" w:bottom="1417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ptos">
    <w:charset w:val="ee"/>
    <w:family w:val="swiss"/>
    <w:pitch w:val="variable"/>
  </w:font>
  <w:font w:name="Aptos Display">
    <w:charset w:val="ee"/>
    <w:family w:val="swiss"/>
    <w:pitch w:val="variable"/>
  </w:font>
  <w:font w:name="Liberation Sans">
    <w:altName w:val="Arial"/>
    <w:charset w:val="ee"/>
    <w:family w:val="swiss"/>
    <w:pitch w:val="variable"/>
  </w:font>
  <w:font w:name="Arial"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pBdr>
        <w:top w:val="single" w:sz="4" w:space="1" w:color="00B0F0"/>
      </w:pBdr>
      <w:jc w:val="center"/>
      <w:rPr>
        <w:sz w:val="18"/>
        <w:szCs w:val="18"/>
      </w:rPr>
    </w:pPr>
    <w:r>
      <w:rPr>
        <w:sz w:val="18"/>
        <w:szCs w:val="18"/>
      </w:rPr>
      <w:t xml:space="preserve">Sąd Rejonowy dla Krakowa-Śródmieścia w Krakowie, XII Wydział Gospodarczy Krajowego Rejestru Sądowego KRS: 0000248524   NIP: 551-000-74-17   </w:t>
      <w:tab/>
      <w:t>Wysokość kapitału zakładowego: 18.084.000,00 ZŁ</w:t>
    </w:r>
  </w:p>
  <w:p>
    <w:pPr>
      <w:pStyle w:val="Footer"/>
      <w:jc w:val="center"/>
      <w:rPr>
        <w:color w:val="00B0F0"/>
        <w:sz w:val="18"/>
        <w:szCs w:val="18"/>
      </w:rPr>
    </w:pPr>
    <w:r>
      <w:rPr>
        <w:color w:val="00B0F0"/>
        <w:sz w:val="18"/>
        <w:szCs w:val="18"/>
      </w:rPr>
      <w:t>www.zgkandrychow.pl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pBdr>
        <w:top w:val="single" w:sz="4" w:space="1" w:color="00B0F0"/>
      </w:pBdr>
      <w:jc w:val="center"/>
      <w:rPr>
        <w:sz w:val="18"/>
        <w:szCs w:val="18"/>
      </w:rPr>
    </w:pPr>
    <w:r>
      <w:rPr>
        <w:sz w:val="18"/>
        <w:szCs w:val="18"/>
      </w:rPr>
      <w:t xml:space="preserve">Sąd Rejonowy dla Krakowa-Śródmieścia w Krakowie, XII Wydział Gospodarczy Krajowego Rejestru Sądowego KRS: 0000248524   NIP: 551-000-74-17   </w:t>
      <w:tab/>
      <w:t>Wysokość kapitału zakładowego: 18.084.000,00 ZŁ</w:t>
    </w:r>
  </w:p>
  <w:p>
    <w:pPr>
      <w:pStyle w:val="Footer"/>
      <w:jc w:val="center"/>
      <w:rPr>
        <w:color w:val="00B0F0"/>
        <w:sz w:val="18"/>
        <w:szCs w:val="18"/>
      </w:rPr>
    </w:pPr>
    <w:r>
      <w:rPr>
        <w:color w:val="00B0F0"/>
        <w:sz w:val="18"/>
        <w:szCs w:val="18"/>
      </w:rPr>
      <w:t>www.zgkandrychow.pl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16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lineRule="auto" w:line="240" w:before="0" w:after="0"/>
      <w:rPr/>
    </w:pPr>
    <w:r>
      <w:drawing>
        <wp:anchor behindDoc="1" distT="0" distB="0" distL="0" distR="0" simplePos="0" locked="0" layoutInCell="0" allowOverlap="1" relativeHeight="8">
          <wp:simplePos x="0" y="0"/>
          <wp:positionH relativeFrom="column">
            <wp:posOffset>-4445</wp:posOffset>
          </wp:positionH>
          <wp:positionV relativeFrom="paragraph">
            <wp:posOffset>-15240</wp:posOffset>
          </wp:positionV>
          <wp:extent cx="681355" cy="593090"/>
          <wp:effectExtent l="0" t="0" r="0" b="0"/>
          <wp:wrapSquare wrapText="bothSides"/>
          <wp:docPr id="1" name="Obraz 1" descr="Obraz zawierający Czcionka, logo, Grafika, symbol&#10;&#10;Zawartość wygenerowana przez sztuczną inteligencję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Obraz zawierający Czcionka, logo, Grafika, symbol&#10;&#10;Zawartość wygenerowana przez sztuczną inteligencję może być niepoprawna.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81355" cy="5930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color w:val="00B0F0"/>
        <w:sz w:val="32"/>
        <w:szCs w:val="32"/>
      </w:rPr>
      <w:t xml:space="preserve">             </w:t>
    </w:r>
    <w:r>
      <w:rPr>
        <w:color w:val="00B0F0"/>
        <w:sz w:val="32"/>
        <w:szCs w:val="32"/>
      </w:rPr>
      <w:t>Zakład Gospodarki Komunalnej sp. z o.o.</w:t>
    </w:r>
  </w:p>
  <w:p>
    <w:pPr>
      <w:pStyle w:val="Header"/>
      <w:spacing w:lineRule="auto" w:line="240" w:before="0" w:after="0"/>
      <w:rPr/>
    </w:pPr>
    <w:r>
      <w:rPr/>
      <w:t xml:space="preserve">                 </w:t>
    </w:r>
    <w:r>
      <w:rPr/>
      <w:t>Ul. Stefana Batorego 24, 34-120 Andrychów</w:t>
    </w:r>
  </w:p>
  <w:p>
    <w:pPr>
      <w:pStyle w:val="Header"/>
      <w:pBdr>
        <w:bottom w:val="single" w:sz="4" w:space="1" w:color="00B0F0"/>
      </w:pBdr>
      <w:spacing w:lineRule="auto" w:line="240" w:before="0" w:after="0"/>
      <w:rPr/>
    </w:pPr>
    <w:r>
      <w:rPr/>
      <w:t xml:space="preserve">                 </w:t>
    </w:r>
    <w:r>
      <w:rPr/>
      <w:t>Telefon: 33 875 36 61</w:t>
      <w:tab/>
      <w:t xml:space="preserve">                                   e-mail: zgk@zgkandrychow.pl</w: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lineRule="auto" w:line="240" w:before="0" w:after="0"/>
      <w:rPr/>
    </w:pPr>
    <w:r>
      <w:drawing>
        <wp:anchor behindDoc="1" distT="0" distB="0" distL="0" distR="0" simplePos="0" locked="0" layoutInCell="0" allowOverlap="1" relativeHeight="8">
          <wp:simplePos x="0" y="0"/>
          <wp:positionH relativeFrom="column">
            <wp:posOffset>-4445</wp:posOffset>
          </wp:positionH>
          <wp:positionV relativeFrom="paragraph">
            <wp:posOffset>-15240</wp:posOffset>
          </wp:positionV>
          <wp:extent cx="681355" cy="593090"/>
          <wp:effectExtent l="0" t="0" r="0" b="0"/>
          <wp:wrapSquare wrapText="bothSides"/>
          <wp:docPr id="2" name="Obraz 1" descr="Obraz zawierający Czcionka, logo, Grafika, symbol&#10;&#10;Zawartość wygenerowana przez sztuczną inteligencję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" descr="Obraz zawierający Czcionka, logo, Grafika, symbol&#10;&#10;Zawartość wygenerowana przez sztuczną inteligencję może być niepoprawna.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81355" cy="5930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color w:val="00B0F0"/>
        <w:sz w:val="32"/>
        <w:szCs w:val="32"/>
      </w:rPr>
      <w:t xml:space="preserve">             </w:t>
    </w:r>
    <w:r>
      <w:rPr>
        <w:color w:val="00B0F0"/>
        <w:sz w:val="32"/>
        <w:szCs w:val="32"/>
      </w:rPr>
      <w:t>Zakład Gospodarki Komunalnej sp. z o.o.</w:t>
    </w:r>
  </w:p>
  <w:p>
    <w:pPr>
      <w:pStyle w:val="Header"/>
      <w:spacing w:lineRule="auto" w:line="240" w:before="0" w:after="0"/>
      <w:rPr/>
    </w:pPr>
    <w:r>
      <w:rPr/>
      <w:t xml:space="preserve">                 </w:t>
    </w:r>
    <w:r>
      <w:rPr/>
      <w:t>Ul. Stefana Batorego 24, 34-120 Andrychów</w:t>
    </w:r>
  </w:p>
  <w:p>
    <w:pPr>
      <w:pStyle w:val="Header"/>
      <w:pBdr>
        <w:bottom w:val="single" w:sz="4" w:space="1" w:color="00B0F0"/>
      </w:pBdr>
      <w:spacing w:lineRule="auto" w:line="240" w:before="0" w:after="0"/>
      <w:rPr/>
    </w:pPr>
    <w:r>
      <w:rPr/>
      <w:t xml:space="preserve">                 </w:t>
    </w:r>
    <w:r>
      <w:rPr/>
      <w:t>Telefon: 33 875 36 61</w:t>
      <w:tab/>
      <w:t xml:space="preserve">                                   e-mail: zgk@zgkandrychow.pl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425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Times New Roman"/>
        <w:kern w:val="2"/>
        <w:sz w:val="24"/>
        <w:szCs w:val="24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160"/>
      <w:jc w:val="left"/>
    </w:pPr>
    <w:rPr>
      <w:rFonts w:ascii="Aptos" w:hAnsi="Aptos" w:eastAsia="Aptos" w:cs="Times New Roman"/>
      <w:color w:val="000000"/>
      <w:kern w:val="2"/>
      <w:sz w:val="24"/>
      <w:szCs w:val="24"/>
      <w:lang w:val="pl-PL" w:eastAsia="en-US" w:bidi="ar-SA"/>
    </w:rPr>
  </w:style>
  <w:style w:type="paragraph" w:styleId="Heading1">
    <w:name w:val="heading 1"/>
    <w:basedOn w:val="Normal"/>
    <w:next w:val="Normal"/>
    <w:uiPriority w:val="9"/>
    <w:qFormat/>
    <w:pPr>
      <w:keepNext w:val="true"/>
      <w:keepLines/>
      <w:numPr>
        <w:ilvl w:val="0"/>
        <w:numId w:val="1"/>
      </w:numPr>
      <w:spacing w:before="360" w:after="80"/>
      <w:outlineLvl w:val="0"/>
    </w:pPr>
    <w:rPr>
      <w:rFonts w:ascii="Aptos Display" w:hAnsi="Aptos Display" w:eastAsia="Times New Roman"/>
      <w:color w:val="0F4761"/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 w:val="true"/>
      <w:keepLines/>
      <w:numPr>
        <w:ilvl w:val="1"/>
        <w:numId w:val="1"/>
      </w:numPr>
      <w:spacing w:before="160" w:after="80"/>
      <w:outlineLvl w:val="1"/>
    </w:pPr>
    <w:rPr>
      <w:rFonts w:ascii="Aptos Display" w:hAnsi="Aptos Display" w:eastAsia="Times New Roman"/>
      <w:color w:val="0F4761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 w:val="true"/>
      <w:keepLines/>
      <w:numPr>
        <w:ilvl w:val="2"/>
        <w:numId w:val="1"/>
      </w:numPr>
      <w:spacing w:before="160" w:after="80"/>
      <w:outlineLvl w:val="2"/>
    </w:pPr>
    <w:rPr>
      <w:rFonts w:eastAsia="Times New Roman"/>
      <w:color w:val="0F4761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 w:val="true"/>
      <w:keepLines/>
      <w:numPr>
        <w:ilvl w:val="3"/>
        <w:numId w:val="1"/>
      </w:numPr>
      <w:spacing w:before="80" w:after="40"/>
      <w:outlineLvl w:val="3"/>
    </w:pPr>
    <w:rPr>
      <w:rFonts w:eastAsia="Times New Roman"/>
      <w:i/>
      <w:iCs/>
      <w:color w:val="0F4761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 w:val="true"/>
      <w:keepLines/>
      <w:numPr>
        <w:ilvl w:val="4"/>
        <w:numId w:val="1"/>
      </w:numPr>
      <w:spacing w:before="80" w:after="40"/>
      <w:outlineLvl w:val="4"/>
    </w:pPr>
    <w:rPr>
      <w:rFonts w:eastAsia="Times New Roman"/>
      <w:color w:val="0F4761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 w:val="true"/>
      <w:keepLines/>
      <w:numPr>
        <w:ilvl w:val="5"/>
        <w:numId w:val="1"/>
      </w:numPr>
      <w:spacing w:before="40" w:after="0"/>
      <w:outlineLvl w:val="5"/>
    </w:pPr>
    <w:rPr>
      <w:rFonts w:eastAsia="Times New Roman"/>
      <w:i/>
      <w:iCs/>
      <w:color w:val="595959"/>
    </w:rPr>
  </w:style>
  <w:style w:type="paragraph" w:styleId="Heading7">
    <w:name w:val="heading 7"/>
    <w:basedOn w:val="Normal"/>
    <w:next w:val="Normal"/>
    <w:qFormat/>
    <w:pPr>
      <w:keepNext w:val="true"/>
      <w:keepLines/>
      <w:numPr>
        <w:ilvl w:val="6"/>
        <w:numId w:val="1"/>
      </w:numPr>
      <w:spacing w:before="40" w:after="0"/>
      <w:outlineLvl w:val="6"/>
    </w:pPr>
    <w:rPr>
      <w:rFonts w:eastAsia="Times New Roman"/>
      <w:color w:val="595959"/>
    </w:rPr>
  </w:style>
  <w:style w:type="paragraph" w:styleId="Heading8">
    <w:name w:val="heading 8"/>
    <w:basedOn w:val="Normal"/>
    <w:next w:val="Normal"/>
    <w:qFormat/>
    <w:pPr>
      <w:keepNext w:val="true"/>
      <w:keepLines/>
      <w:numPr>
        <w:ilvl w:val="7"/>
        <w:numId w:val="1"/>
      </w:numPr>
      <w:spacing w:before="0" w:after="0"/>
      <w:outlineLvl w:val="7"/>
    </w:pPr>
    <w:rPr>
      <w:rFonts w:eastAsia="Times New Roman"/>
      <w:i/>
      <w:iCs/>
      <w:color w:val="272727"/>
    </w:rPr>
  </w:style>
  <w:style w:type="paragraph" w:styleId="Heading9">
    <w:name w:val="heading 9"/>
    <w:basedOn w:val="Normal"/>
    <w:next w:val="Normal"/>
    <w:qFormat/>
    <w:pPr>
      <w:keepNext w:val="true"/>
      <w:keepLines/>
      <w:numPr>
        <w:ilvl w:val="8"/>
        <w:numId w:val="1"/>
      </w:numPr>
      <w:spacing w:before="0" w:after="0"/>
      <w:outlineLvl w:val="8"/>
    </w:pPr>
    <w:rPr>
      <w:rFonts w:eastAsia="Times New Roman"/>
      <w:color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1Znak" w:customStyle="1">
    <w:name w:val="Nagłówek 1 Znak"/>
    <w:basedOn w:val="DefaultParagraphFont"/>
    <w:qFormat/>
    <w:rPr>
      <w:rFonts w:ascii="Aptos Display" w:hAnsi="Aptos Display" w:eastAsia="Times New Roman" w:cs="Times New Roman"/>
      <w:color w:val="0F4761"/>
      <w:sz w:val="40"/>
      <w:szCs w:val="40"/>
    </w:rPr>
  </w:style>
  <w:style w:type="character" w:styleId="Nagwek2Znak" w:customStyle="1">
    <w:name w:val="Nagłówek 2 Znak"/>
    <w:basedOn w:val="DefaultParagraphFont"/>
    <w:qFormat/>
    <w:rPr>
      <w:rFonts w:ascii="Aptos Display" w:hAnsi="Aptos Display" w:eastAsia="Times New Roman" w:cs="Times New Roman"/>
      <w:color w:val="0F4761"/>
      <w:sz w:val="32"/>
      <w:szCs w:val="32"/>
    </w:rPr>
  </w:style>
  <w:style w:type="character" w:styleId="Nagwek3Znak" w:customStyle="1">
    <w:name w:val="Nagłówek 3 Znak"/>
    <w:basedOn w:val="DefaultParagraphFont"/>
    <w:qFormat/>
    <w:rPr>
      <w:rFonts w:eastAsia="Times New Roman" w:cs="Times New Roman"/>
      <w:color w:val="0F4761"/>
      <w:sz w:val="28"/>
      <w:szCs w:val="28"/>
    </w:rPr>
  </w:style>
  <w:style w:type="character" w:styleId="Nagwek4Znak" w:customStyle="1">
    <w:name w:val="Nagłówek 4 Znak"/>
    <w:basedOn w:val="DefaultParagraphFont"/>
    <w:qFormat/>
    <w:rPr>
      <w:rFonts w:eastAsia="Times New Roman" w:cs="Times New Roman"/>
      <w:i/>
      <w:iCs/>
      <w:color w:val="0F4761"/>
    </w:rPr>
  </w:style>
  <w:style w:type="character" w:styleId="Nagwek5Znak" w:customStyle="1">
    <w:name w:val="Nagłówek 5 Znak"/>
    <w:basedOn w:val="DefaultParagraphFont"/>
    <w:qFormat/>
    <w:rPr>
      <w:rFonts w:eastAsia="Times New Roman" w:cs="Times New Roman"/>
      <w:color w:val="0F4761"/>
    </w:rPr>
  </w:style>
  <w:style w:type="character" w:styleId="Nagwek6Znak" w:customStyle="1">
    <w:name w:val="Nagłówek 6 Znak"/>
    <w:basedOn w:val="DefaultParagraphFont"/>
    <w:qFormat/>
    <w:rPr>
      <w:rFonts w:eastAsia="Times New Roman" w:cs="Times New Roman"/>
      <w:i/>
      <w:iCs/>
      <w:color w:val="595959"/>
    </w:rPr>
  </w:style>
  <w:style w:type="character" w:styleId="Nagwek7Znak" w:customStyle="1">
    <w:name w:val="Nagłówek 7 Znak"/>
    <w:basedOn w:val="DefaultParagraphFont"/>
    <w:qFormat/>
    <w:rPr>
      <w:rFonts w:eastAsia="Times New Roman" w:cs="Times New Roman"/>
      <w:color w:val="595959"/>
    </w:rPr>
  </w:style>
  <w:style w:type="character" w:styleId="Nagwek8Znak" w:customStyle="1">
    <w:name w:val="Nagłówek 8 Znak"/>
    <w:basedOn w:val="DefaultParagraphFont"/>
    <w:qFormat/>
    <w:rPr>
      <w:rFonts w:eastAsia="Times New Roman" w:cs="Times New Roman"/>
      <w:i/>
      <w:iCs/>
      <w:color w:val="272727"/>
    </w:rPr>
  </w:style>
  <w:style w:type="character" w:styleId="Nagwek9Znak" w:customStyle="1">
    <w:name w:val="Nagłówek 9 Znak"/>
    <w:basedOn w:val="DefaultParagraphFont"/>
    <w:qFormat/>
    <w:rPr>
      <w:rFonts w:eastAsia="Times New Roman" w:cs="Times New Roman"/>
      <w:color w:val="272727"/>
    </w:rPr>
  </w:style>
  <w:style w:type="character" w:styleId="TytuZnak" w:customStyle="1">
    <w:name w:val="Tytuł Znak"/>
    <w:basedOn w:val="DefaultParagraphFont"/>
    <w:qFormat/>
    <w:rPr>
      <w:rFonts w:ascii="Aptos Display" w:hAnsi="Aptos Display" w:eastAsia="Times New Roman" w:cs="Times New Roman"/>
      <w:spacing w:val="-10"/>
      <w:kern w:val="2"/>
      <w:sz w:val="56"/>
      <w:szCs w:val="56"/>
    </w:rPr>
  </w:style>
  <w:style w:type="character" w:styleId="PodtytuZnak" w:customStyle="1">
    <w:name w:val="Podtytuł Znak"/>
    <w:basedOn w:val="DefaultParagraphFont"/>
    <w:qFormat/>
    <w:rPr>
      <w:rFonts w:eastAsia="Times New Roman" w:cs="Times New Roman"/>
      <w:color w:val="595959"/>
      <w:spacing w:val="15"/>
      <w:sz w:val="28"/>
      <w:szCs w:val="28"/>
    </w:rPr>
  </w:style>
  <w:style w:type="character" w:styleId="CytatZnak" w:customStyle="1">
    <w:name w:val="Cytat Znak"/>
    <w:basedOn w:val="DefaultParagraphFont"/>
    <w:qFormat/>
    <w:rPr>
      <w:i/>
      <w:iCs/>
      <w:color w:val="404040"/>
    </w:rPr>
  </w:style>
  <w:style w:type="character" w:styleId="IntenseEmphasis">
    <w:name w:val="Intense Emphasis"/>
    <w:basedOn w:val="DefaultParagraphFont"/>
    <w:qFormat/>
    <w:rPr>
      <w:i/>
      <w:iCs/>
      <w:color w:val="0F4761"/>
    </w:rPr>
  </w:style>
  <w:style w:type="character" w:styleId="CytatintensywnyZnak" w:customStyle="1">
    <w:name w:val="Cytat intensywny Znak"/>
    <w:basedOn w:val="DefaultParagraphFont"/>
    <w:qFormat/>
    <w:rPr>
      <w:i/>
      <w:iCs/>
      <w:color w:val="0F4761"/>
    </w:rPr>
  </w:style>
  <w:style w:type="character" w:styleId="IntenseReference">
    <w:name w:val="Intense Reference"/>
    <w:basedOn w:val="DefaultParagraphFont"/>
    <w:qFormat/>
    <w:rPr>
      <w:b/>
      <w:bCs/>
      <w:smallCaps/>
      <w:color w:val="0F4761"/>
      <w:spacing w:val="5"/>
    </w:rPr>
  </w:style>
  <w:style w:type="character" w:styleId="NagwekZnak" w:customStyle="1">
    <w:name w:val="Nagłówek Znak"/>
    <w:basedOn w:val="DefaultParagraphFont"/>
    <w:qFormat/>
    <w:rPr/>
  </w:style>
  <w:style w:type="character" w:styleId="StopkaZnak" w:customStyle="1">
    <w:name w:val="Stopka Znak"/>
    <w:basedOn w:val="DefaultParagraphFont"/>
    <w:qFormat/>
    <w:rPr/>
  </w:style>
  <w:style w:type="character" w:styleId="Strong">
    <w:name w:val="Strong"/>
    <w:basedOn w:val="DefaultParagraphFont"/>
    <w:qFormat/>
    <w:rPr>
      <w:b/>
      <w:bCs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Indeks" w:customStyle="1">
    <w:name w:val="Indeks"/>
    <w:basedOn w:val="Normal"/>
    <w:qFormat/>
    <w:pPr>
      <w:suppressLineNumbers/>
    </w:pPr>
    <w:rPr>
      <w:rFonts w:cs="Arial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Indeksuser">
    <w:name w:val="Indeks (user)"/>
    <w:basedOn w:val="Normal"/>
    <w:qFormat/>
    <w:pPr>
      <w:suppressLineNumbers/>
    </w:pPr>
    <w:rPr>
      <w:rFonts w:cs="Lucida Sans"/>
    </w:rPr>
  </w:style>
  <w:style w:type="paragraph" w:styleId="Gwkaistopkauser">
    <w:name w:val="Główka i stopka (user)"/>
    <w:basedOn w:val="Normal"/>
    <w:qFormat/>
    <w:pPr/>
    <w:rPr/>
  </w:style>
  <w:style w:type="paragraph" w:styleId="Gwkaistopka" w:customStyle="1">
    <w:name w:val="Główka i stopka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next w:val="BodyText"/>
    <w:pPr>
      <w:suppressLineNumbers/>
    </w:pPr>
    <w:rPr/>
  </w:style>
  <w:style w:type="paragraph" w:styleId="Title">
    <w:name w:val="Title"/>
    <w:basedOn w:val="Normal"/>
    <w:next w:val="Normal"/>
    <w:uiPriority w:val="10"/>
    <w:qFormat/>
    <w:pPr>
      <w:spacing w:lineRule="auto" w:line="240" w:before="0" w:after="80"/>
      <w:contextualSpacing/>
    </w:pPr>
    <w:rPr>
      <w:rFonts w:ascii="Aptos Display" w:hAnsi="Aptos Display" w:eastAsia="Times New Roman"/>
      <w:spacing w:val="-10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pPr/>
    <w:rPr>
      <w:rFonts w:eastAsia="Times New Roman"/>
      <w:color w:val="595959"/>
      <w:spacing w:val="15"/>
      <w:sz w:val="28"/>
      <w:szCs w:val="28"/>
    </w:rPr>
  </w:style>
  <w:style w:type="paragraph" w:styleId="Quote">
    <w:name w:val="Quote"/>
    <w:basedOn w:val="Normal"/>
    <w:next w:val="Normal"/>
    <w:qFormat/>
    <w:pPr>
      <w:spacing w:before="160" w:after="160"/>
      <w:jc w:val="center"/>
    </w:pPr>
    <w:rPr>
      <w:i/>
      <w:iCs/>
      <w:color w:val="404040"/>
    </w:rPr>
  </w:style>
  <w:style w:type="paragraph" w:styleId="ListParagraph">
    <w:name w:val="List Paragraph"/>
    <w:basedOn w:val="Normal"/>
    <w:qFormat/>
    <w:pPr>
      <w:spacing w:before="0" w:after="160"/>
      <w:ind w:left="720"/>
      <w:contextualSpacing/>
    </w:pPr>
    <w:rPr/>
  </w:style>
  <w:style w:type="paragraph" w:styleId="IntenseQuote">
    <w:name w:val="Intense Quote"/>
    <w:basedOn w:val="Normal"/>
    <w:next w:val="Normal"/>
    <w:qFormat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paragraph" w:styleId="Footer">
    <w:name w:val="footer"/>
    <w:basedOn w:val="Normal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numbering" w:styleId="Bezlistyuser" w:default="1">
    <w:name w:val="Bez listy (user)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3378</TotalTime>
  <Application>LibreOffice/25.2.7.2$Windows_X86_64 LibreOffice_project/5cbfd1ab6520636bb5f7b99185aa69bd7456825d</Application>
  <AppVersion>15.0000</AppVersion>
  <Pages>7</Pages>
  <Words>1811</Words>
  <Characters>11778</Characters>
  <CharactersWithSpaces>13649</CharactersWithSpaces>
  <Paragraphs>150</Paragraphs>
  <Company>trans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2025-02-13T07:04:00Z</dcterms:created>
  <dc:creator>Szymon Smreczyński</dc:creator>
  <dc:description/>
  <dc:language>pl-PL</dc:language>
  <cp:lastModifiedBy/>
  <cp:lastPrinted>2026-03-26T08:46:00Z</cp:lastPrinted>
  <dcterms:modified xsi:type="dcterms:W3CDTF">2026-05-12T13:46:59Z</dcterms:modified>
  <cp:revision>36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