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708D1402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281875">
        <w:rPr>
          <w:rFonts w:ascii="Times New Roman" w:eastAsia="Times New Roman" w:hAnsi="Times New Roman" w:cs="Times New Roman"/>
          <w:lang w:eastAsia="sk-SK"/>
        </w:rPr>
        <w:t>2</w:t>
      </w:r>
      <w:r w:rsidR="00E14962">
        <w:rPr>
          <w:rFonts w:ascii="Times New Roman" w:eastAsia="Times New Roman" w:hAnsi="Times New Roman" w:cs="Times New Roman"/>
          <w:lang w:eastAsia="sk-SK"/>
        </w:rPr>
        <w:t>94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281875">
        <w:rPr>
          <w:rFonts w:ascii="Times New Roman" w:eastAsia="Times New Roman" w:hAnsi="Times New Roman" w:cs="Times New Roman"/>
          <w:lang w:eastAsia="sk-SK"/>
        </w:rPr>
        <w:t>6-4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E14962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E14962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E14962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E14962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084A50D8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281875">
              <w:rPr>
                <w:rFonts w:ascii="Times New Roman" w:eastAsia="Calibri" w:hAnsi="Times New Roman" w:cs="Times New Roman"/>
                <w:b/>
              </w:rPr>
              <w:t>1</w:t>
            </w:r>
            <w:r w:rsidR="00E14962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B749D0">
              <w:rPr>
                <w:rFonts w:ascii="Times New Roman" w:eastAsia="Calibri" w:hAnsi="Times New Roman" w:cs="Times New Roman"/>
                <w:b/>
              </w:rPr>
              <w:t>Kancelársky potreby</w:t>
            </w:r>
            <w:r w:rsidR="00E14962">
              <w:rPr>
                <w:rFonts w:ascii="Times New Roman" w:eastAsia="Calibri" w:hAnsi="Times New Roman" w:cs="Times New Roman"/>
                <w:b/>
              </w:rPr>
              <w:t xml:space="preserve"> – Diskrétne obálky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E14962">
              <w:rPr>
                <w:rFonts w:ascii="Times New Roman" w:eastAsia="Calibri" w:hAnsi="Times New Roman" w:cs="Times New Roman"/>
                <w:b/>
              </w:rPr>
              <w:t>21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B749D0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281875">
              <w:rPr>
                <w:rFonts w:ascii="Times New Roman" w:eastAsia="Calibri" w:hAnsi="Times New Roman" w:cs="Times New Roman"/>
                <w:b/>
              </w:rPr>
              <w:t>6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0" w:name="_Hlk215576486"/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F26E42" w14:textId="77777777" w:rsidR="00165FDE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Číslo oznámenia a číslo a dátum vydania vo Vestníku VO: vestník </w:t>
            </w:r>
          </w:p>
          <w:p w14:paraId="42EBCC62" w14:textId="62E02D3C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5FDE">
              <w:rPr>
                <w:rFonts w:ascii="Times New Roman" w:hAnsi="Times New Roman" w:cs="Times New Roman"/>
                <w:sz w:val="18"/>
                <w:szCs w:val="18"/>
              </w:rPr>
              <w:t xml:space="preserve">značka 15299-MUT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5F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3A86E0E3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Vestník EÚ: </w:t>
            </w:r>
            <w:r w:rsidR="00165F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OJ  S 182/2025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620811-2025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zo dňa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2025</w:t>
            </w:r>
          </w:p>
        </w:tc>
      </w:tr>
      <w:bookmarkEnd w:id="0"/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524E4431" w:rsidR="00230F37" w:rsidRPr="00281875" w:rsidRDefault="00E14962" w:rsidP="00761B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Tibor VARGA TSV PAPIER </w:t>
            </w:r>
            <w:r w:rsidR="00EF6EE2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Vajanského 80</w:t>
            </w:r>
            <w:r w:rsidR="00EF6EE2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,</w:t>
            </w:r>
            <w:r w:rsidR="00281875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84</w:t>
            </w:r>
            <w:r w:rsidR="00B0280E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2950A4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0</w:t>
            </w:r>
            <w:r w:rsidR="00281875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EF6EE2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Lučenec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04B7B1C6" w:rsidR="00EF6EE2" w:rsidRPr="002950A4" w:rsidRDefault="00E1496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Tibor VARGA TSV PAPIER </w:t>
      </w:r>
      <w:r w:rsidRPr="0028187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; </w:t>
      </w:r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>Vajanského 80</w:t>
      </w:r>
      <w:r w:rsidRPr="0028187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, 9</w:t>
      </w:r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>84</w:t>
      </w:r>
      <w:r w:rsidRPr="0028187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01 </w:t>
      </w:r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>Lučenec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23A4BE41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B749D0">
        <w:rPr>
          <w:rFonts w:ascii="Times New Roman" w:eastAsia="Calibri" w:hAnsi="Times New Roman" w:cs="Times New Roman"/>
          <w:b/>
          <w:iCs/>
          <w:sz w:val="20"/>
          <w:szCs w:val="20"/>
        </w:rPr>
        <w:t>1</w:t>
      </w:r>
      <w:r w:rsidR="00E14962">
        <w:rPr>
          <w:rFonts w:ascii="Times New Roman" w:eastAsia="Calibri" w:hAnsi="Times New Roman" w:cs="Times New Roman"/>
          <w:b/>
          <w:iCs/>
          <w:sz w:val="20"/>
          <w:szCs w:val="20"/>
        </w:rPr>
        <w:t>1</w:t>
      </w:r>
      <w:r w:rsidR="002950A4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E14962">
        <w:rPr>
          <w:rFonts w:ascii="Times New Roman" w:eastAsia="Calibri" w:hAnsi="Times New Roman" w:cs="Times New Roman"/>
          <w:b/>
          <w:iCs/>
          <w:sz w:val="20"/>
          <w:szCs w:val="20"/>
        </w:rPr>
        <w:t>760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281875">
        <w:rPr>
          <w:rFonts w:ascii="Times New Roman" w:eastAsia="Calibri" w:hAnsi="Times New Roman" w:cs="Times New Roman"/>
          <w:b/>
          <w:iCs/>
          <w:sz w:val="20"/>
          <w:szCs w:val="20"/>
        </w:rPr>
        <w:t>00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7CBE1713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0D8F5A34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E14962">
        <w:rPr>
          <w:rFonts w:ascii="Times New Roman" w:eastAsia="Calibri" w:hAnsi="Times New Roman" w:cs="Times New Roman"/>
          <w:bCs/>
          <w:sz w:val="20"/>
          <w:szCs w:val="20"/>
        </w:rPr>
        <w:t>4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E14962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281875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165FDE"/>
    <w:rsid w:val="00230F37"/>
    <w:rsid w:val="00233A6B"/>
    <w:rsid w:val="00281875"/>
    <w:rsid w:val="00292EC8"/>
    <w:rsid w:val="002950A4"/>
    <w:rsid w:val="00296F34"/>
    <w:rsid w:val="006C5DE7"/>
    <w:rsid w:val="00741710"/>
    <w:rsid w:val="00754B68"/>
    <w:rsid w:val="00761B4B"/>
    <w:rsid w:val="009353B2"/>
    <w:rsid w:val="00A90B39"/>
    <w:rsid w:val="00B0280E"/>
    <w:rsid w:val="00B749D0"/>
    <w:rsid w:val="00BA0C17"/>
    <w:rsid w:val="00C2399D"/>
    <w:rsid w:val="00CC5436"/>
    <w:rsid w:val="00D14392"/>
    <w:rsid w:val="00D37C7F"/>
    <w:rsid w:val="00DC5229"/>
    <w:rsid w:val="00E14962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39</cp:revision>
  <cp:lastPrinted>2026-05-15T09:47:00Z</cp:lastPrinted>
  <dcterms:created xsi:type="dcterms:W3CDTF">2024-03-26T12:38:00Z</dcterms:created>
  <dcterms:modified xsi:type="dcterms:W3CDTF">2026-06-04T08:07:00Z</dcterms:modified>
</cp:coreProperties>
</file>