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8784D" w14:textId="77777777" w:rsidR="00C01196" w:rsidRDefault="00322A97">
      <w:pPr>
        <w:spacing w:after="40"/>
        <w:jc w:val="center"/>
      </w:pPr>
      <w:r>
        <w:rPr>
          <w:rFonts w:ascii="Calibri" w:eastAsia="Calibri" w:hAnsi="Calibri" w:cs="Calibri"/>
          <w:b/>
          <w:bCs/>
          <w:sz w:val="32"/>
          <w:szCs w:val="32"/>
        </w:rPr>
        <w:t>TECHNICKÁ SPECIFIKACE</w:t>
      </w:r>
    </w:p>
    <w:p w14:paraId="441998A1" w14:textId="5D207E4D" w:rsidR="007E71BF" w:rsidRPr="00860339" w:rsidRDefault="007E71BF" w:rsidP="00860339">
      <w:pPr>
        <w:jc w:val="center"/>
        <w:rPr>
          <w:rFonts w:ascii="Calibri" w:hAnsi="Calibri" w:cs="Calibri"/>
          <w:b/>
          <w:bCs/>
          <w:kern w:val="32"/>
          <w:sz w:val="24"/>
          <w:szCs w:val="24"/>
        </w:rPr>
      </w:pPr>
      <w:r w:rsidRPr="00860339">
        <w:rPr>
          <w:rFonts w:ascii="Calibri" w:hAnsi="Calibri" w:cs="Calibri"/>
          <w:b/>
          <w:bCs/>
          <w:kern w:val="32"/>
          <w:sz w:val="24"/>
          <w:szCs w:val="24"/>
        </w:rPr>
        <w:t xml:space="preserve">„Instalace OZE na budovách </w:t>
      </w:r>
      <w:proofErr w:type="spellStart"/>
      <w:r w:rsidRPr="00860339">
        <w:rPr>
          <w:rFonts w:ascii="Calibri" w:hAnsi="Calibri" w:cs="Calibri"/>
          <w:b/>
          <w:bCs/>
          <w:kern w:val="32"/>
          <w:sz w:val="24"/>
          <w:szCs w:val="24"/>
        </w:rPr>
        <w:t>MOb</w:t>
      </w:r>
      <w:proofErr w:type="spellEnd"/>
      <w:r w:rsidRPr="00860339">
        <w:rPr>
          <w:rFonts w:ascii="Calibri" w:hAnsi="Calibri" w:cs="Calibri"/>
          <w:b/>
          <w:bCs/>
          <w:kern w:val="32"/>
          <w:sz w:val="24"/>
          <w:szCs w:val="24"/>
        </w:rPr>
        <w:t xml:space="preserve"> Slezská Ostrava – část A – MŠ Komerční 704/</w:t>
      </w:r>
      <w:proofErr w:type="gramStart"/>
      <w:r w:rsidRPr="00860339">
        <w:rPr>
          <w:rFonts w:ascii="Calibri" w:hAnsi="Calibri" w:cs="Calibri"/>
          <w:b/>
          <w:bCs/>
          <w:kern w:val="32"/>
          <w:sz w:val="24"/>
          <w:szCs w:val="24"/>
        </w:rPr>
        <w:t>22a</w:t>
      </w:r>
      <w:proofErr w:type="gramEnd"/>
      <w:r w:rsidRPr="00860339">
        <w:rPr>
          <w:rFonts w:ascii="Calibri" w:hAnsi="Calibri" w:cs="Calibri"/>
          <w:b/>
          <w:bCs/>
          <w:kern w:val="32"/>
          <w:sz w:val="24"/>
          <w:szCs w:val="24"/>
        </w:rPr>
        <w:t>“</w:t>
      </w:r>
    </w:p>
    <w:p w14:paraId="065BF4C6" w14:textId="429A41A4" w:rsidR="00C01196" w:rsidRDefault="00C01196">
      <w:pPr>
        <w:spacing w:after="40"/>
        <w:jc w:val="center"/>
      </w:pPr>
    </w:p>
    <w:p w14:paraId="2F4AF177" w14:textId="4BB0CEAD" w:rsidR="00C01196" w:rsidRPr="00860339" w:rsidRDefault="00322A97" w:rsidP="00860339">
      <w:pPr>
        <w:spacing w:after="300"/>
        <w:jc w:val="both"/>
        <w:rPr>
          <w:rFonts w:eastAsia="Calibri"/>
          <w:i/>
          <w:iCs/>
          <w:color w:val="000000" w:themeColor="text1"/>
          <w:sz w:val="19"/>
          <w:szCs w:val="19"/>
        </w:rPr>
      </w:pPr>
      <w:r w:rsidRPr="00860339">
        <w:rPr>
          <w:rFonts w:eastAsia="Calibri"/>
          <w:i/>
          <w:iCs/>
          <w:color w:val="000000" w:themeColor="text1"/>
          <w:sz w:val="19"/>
          <w:szCs w:val="19"/>
        </w:rPr>
        <w:t>Tato Technická specifikace je nedílnou přílohou Smlouvy o dílo</w:t>
      </w:r>
      <w:r w:rsidR="007E71BF" w:rsidRPr="00860339">
        <w:rPr>
          <w:rFonts w:eastAsia="Calibri"/>
          <w:i/>
          <w:iCs/>
          <w:color w:val="000000" w:themeColor="text1"/>
          <w:sz w:val="19"/>
          <w:szCs w:val="19"/>
        </w:rPr>
        <w:t xml:space="preserve"> č</w:t>
      </w:r>
      <w:r w:rsidR="007E71BF" w:rsidRPr="00860339">
        <w:rPr>
          <w:rFonts w:eastAsia="Calibri"/>
          <w:i/>
          <w:iCs/>
          <w:color w:val="000000" w:themeColor="text1"/>
          <w:sz w:val="19"/>
          <w:szCs w:val="19"/>
          <w:highlight w:val="yellow"/>
        </w:rPr>
        <w:t xml:space="preserve">. </w:t>
      </w:r>
      <w:proofErr w:type="spellStart"/>
      <w:r w:rsidR="007E71BF" w:rsidRPr="00860339">
        <w:rPr>
          <w:rFonts w:eastAsia="Calibri"/>
          <w:i/>
          <w:iCs/>
          <w:color w:val="000000" w:themeColor="text1"/>
          <w:sz w:val="19"/>
          <w:szCs w:val="19"/>
          <w:highlight w:val="yellow"/>
        </w:rPr>
        <w:t>xxx</w:t>
      </w:r>
      <w:proofErr w:type="spellEnd"/>
      <w:r w:rsidR="007E71BF" w:rsidRPr="00860339">
        <w:rPr>
          <w:rFonts w:eastAsia="Calibri"/>
          <w:i/>
          <w:iCs/>
          <w:color w:val="000000" w:themeColor="text1"/>
          <w:sz w:val="19"/>
          <w:szCs w:val="19"/>
        </w:rPr>
        <w:t xml:space="preserve">. </w:t>
      </w:r>
      <w:r w:rsidRPr="00860339">
        <w:rPr>
          <w:rFonts w:eastAsia="Calibri"/>
          <w:i/>
          <w:iCs/>
          <w:color w:val="000000" w:themeColor="text1"/>
          <w:sz w:val="19"/>
          <w:szCs w:val="19"/>
        </w:rPr>
        <w:t xml:space="preserve">Stanoví závazné technické parametry, standardy a požadavky na Dílo, jeho jednotlivé komponenty, kybernetickou bezpečnost, monitoring a servisní zajištění. </w:t>
      </w:r>
    </w:p>
    <w:p w14:paraId="691E339A" w14:textId="77777777" w:rsidR="00C01196" w:rsidRPr="007E71BF" w:rsidRDefault="00322A97" w:rsidP="00860339">
      <w:pPr>
        <w:pStyle w:val="Nadpis1"/>
        <w:spacing w:before="320" w:after="160"/>
        <w:jc w:val="both"/>
      </w:pPr>
      <w:r w:rsidRPr="00860339">
        <w:rPr>
          <w:rFonts w:eastAsia="Calibri"/>
          <w:b/>
          <w:bCs/>
          <w:sz w:val="26"/>
          <w:szCs w:val="26"/>
        </w:rPr>
        <w:t>1. Základní technické parametry díla</w:t>
      </w:r>
    </w:p>
    <w:p w14:paraId="46AE7ED3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Instalovaný výkon FVE: 23,85 </w:t>
      </w:r>
      <w:proofErr w:type="spellStart"/>
      <w:r w:rsidRPr="00860339">
        <w:rPr>
          <w:rFonts w:eastAsia="Calibri"/>
          <w:sz w:val="22"/>
          <w:szCs w:val="22"/>
        </w:rPr>
        <w:t>kWp</w:t>
      </w:r>
      <w:proofErr w:type="spellEnd"/>
      <w:r w:rsidRPr="00860339">
        <w:rPr>
          <w:rFonts w:eastAsia="Calibri"/>
          <w:sz w:val="22"/>
          <w:szCs w:val="22"/>
        </w:rPr>
        <w:t xml:space="preserve"> (53 ks fotovoltaických panelů o jednotkovém výkonu 450 </w:t>
      </w:r>
      <w:proofErr w:type="spellStart"/>
      <w:r w:rsidRPr="00860339">
        <w:rPr>
          <w:rFonts w:eastAsia="Calibri"/>
          <w:sz w:val="22"/>
          <w:szCs w:val="22"/>
        </w:rPr>
        <w:t>Wp</w:t>
      </w:r>
      <w:proofErr w:type="spellEnd"/>
      <w:r w:rsidRPr="00860339">
        <w:rPr>
          <w:rFonts w:eastAsia="Calibri"/>
          <w:sz w:val="22"/>
          <w:szCs w:val="22"/>
        </w:rPr>
        <w:t>).</w:t>
      </w:r>
    </w:p>
    <w:p w14:paraId="2F44435D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Bateriové úložiště: celková kapacita 27,6 kWh, tvořeno dvěma bateriovými sestavami po 13,8 kWh, každá pro samostatný střídač.</w:t>
      </w:r>
    </w:p>
    <w:p w14:paraId="68D91109" w14:textId="16D11F1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Umístění: střecha objektu </w:t>
      </w:r>
      <w:r w:rsidR="00860339" w:rsidRPr="00155A7F">
        <w:rPr>
          <w:bCs/>
          <w:sz w:val="22"/>
          <w:szCs w:val="22"/>
        </w:rPr>
        <w:t>„M</w:t>
      </w:r>
      <w:r w:rsidR="00860339">
        <w:rPr>
          <w:bCs/>
          <w:sz w:val="22"/>
          <w:szCs w:val="22"/>
        </w:rPr>
        <w:t>ateřské školy</w:t>
      </w:r>
      <w:r w:rsidR="00860339" w:rsidRPr="00155A7F">
        <w:rPr>
          <w:bCs/>
          <w:sz w:val="22"/>
          <w:szCs w:val="22"/>
        </w:rPr>
        <w:t xml:space="preserve"> Slezská Ostrava</w:t>
      </w:r>
      <w:r w:rsidR="00860339">
        <w:rPr>
          <w:bCs/>
          <w:sz w:val="22"/>
          <w:szCs w:val="22"/>
        </w:rPr>
        <w:t>,</w:t>
      </w:r>
      <w:r w:rsidR="00860339" w:rsidRPr="00155A7F">
        <w:rPr>
          <w:bCs/>
          <w:sz w:val="22"/>
          <w:szCs w:val="22"/>
        </w:rPr>
        <w:t xml:space="preserve"> Komerční</w:t>
      </w:r>
      <w:r w:rsidR="00860339">
        <w:rPr>
          <w:bCs/>
          <w:sz w:val="22"/>
          <w:szCs w:val="22"/>
        </w:rPr>
        <w:t xml:space="preserve"> </w:t>
      </w:r>
      <w:proofErr w:type="gramStart"/>
      <w:r w:rsidR="00860339">
        <w:rPr>
          <w:bCs/>
          <w:sz w:val="22"/>
          <w:szCs w:val="22"/>
        </w:rPr>
        <w:t>22a</w:t>
      </w:r>
      <w:proofErr w:type="gramEnd"/>
      <w:r w:rsidR="00860339">
        <w:rPr>
          <w:bCs/>
          <w:sz w:val="22"/>
          <w:szCs w:val="22"/>
        </w:rPr>
        <w:t>, příspěvková organizace</w:t>
      </w:r>
      <w:r w:rsidR="00860339" w:rsidRPr="00155A7F">
        <w:rPr>
          <w:bCs/>
          <w:sz w:val="22"/>
          <w:szCs w:val="22"/>
        </w:rPr>
        <w:t>“ s</w:t>
      </w:r>
      <w:r w:rsidR="00860339">
        <w:rPr>
          <w:bCs/>
          <w:sz w:val="22"/>
          <w:szCs w:val="22"/>
        </w:rPr>
        <w:t> </w:t>
      </w:r>
      <w:r w:rsidR="00860339" w:rsidRPr="00155A7F">
        <w:rPr>
          <w:bCs/>
          <w:sz w:val="22"/>
          <w:szCs w:val="22"/>
        </w:rPr>
        <w:t>adresou</w:t>
      </w:r>
      <w:r w:rsidR="00860339">
        <w:rPr>
          <w:bCs/>
          <w:sz w:val="22"/>
          <w:szCs w:val="22"/>
        </w:rPr>
        <w:t>:</w:t>
      </w:r>
      <w:r w:rsidR="00860339" w:rsidRPr="00155A7F">
        <w:rPr>
          <w:bCs/>
          <w:sz w:val="22"/>
          <w:szCs w:val="22"/>
        </w:rPr>
        <w:t xml:space="preserve"> Komerční 704/</w:t>
      </w:r>
      <w:proofErr w:type="gramStart"/>
      <w:r w:rsidR="00860339" w:rsidRPr="00155A7F">
        <w:rPr>
          <w:bCs/>
          <w:sz w:val="22"/>
          <w:szCs w:val="22"/>
        </w:rPr>
        <w:t>22a</w:t>
      </w:r>
      <w:proofErr w:type="gramEnd"/>
      <w:r w:rsidR="00860339" w:rsidRPr="00155A7F">
        <w:rPr>
          <w:bCs/>
          <w:sz w:val="22"/>
          <w:szCs w:val="22"/>
        </w:rPr>
        <w:t xml:space="preserve">, </w:t>
      </w:r>
      <w:proofErr w:type="spellStart"/>
      <w:r w:rsidR="00860339" w:rsidRPr="00155A7F">
        <w:rPr>
          <w:bCs/>
          <w:sz w:val="22"/>
          <w:szCs w:val="22"/>
        </w:rPr>
        <w:t>Muglinov</w:t>
      </w:r>
      <w:proofErr w:type="spellEnd"/>
      <w:r w:rsidR="00860339" w:rsidRPr="00155A7F">
        <w:rPr>
          <w:bCs/>
          <w:sz w:val="22"/>
          <w:szCs w:val="22"/>
        </w:rPr>
        <w:t>, 712 00 Ostrava</w:t>
      </w:r>
      <w:r w:rsidR="00860339">
        <w:rPr>
          <w:bCs/>
          <w:sz w:val="22"/>
          <w:szCs w:val="22"/>
        </w:rPr>
        <w:t>,</w:t>
      </w:r>
      <w:r w:rsidR="00860339" w:rsidRPr="00860339" w:rsidDel="00860339">
        <w:rPr>
          <w:rFonts w:eastAsia="Calibri"/>
          <w:sz w:val="22"/>
          <w:szCs w:val="22"/>
        </w:rPr>
        <w:t xml:space="preserve"> </w:t>
      </w:r>
      <w:r w:rsidRPr="00860339">
        <w:rPr>
          <w:rFonts w:eastAsia="Calibri"/>
          <w:sz w:val="22"/>
          <w:szCs w:val="22"/>
        </w:rPr>
        <w:t xml:space="preserve">p. č. st. 1231, k. </w:t>
      </w:r>
      <w:proofErr w:type="spellStart"/>
      <w:r w:rsidRPr="00860339">
        <w:rPr>
          <w:rFonts w:eastAsia="Calibri"/>
          <w:sz w:val="22"/>
          <w:szCs w:val="22"/>
        </w:rPr>
        <w:t>ú.</w:t>
      </w:r>
      <w:proofErr w:type="spellEnd"/>
      <w:r w:rsidRPr="00860339">
        <w:rPr>
          <w:rFonts w:eastAsia="Calibri"/>
          <w:sz w:val="22"/>
          <w:szCs w:val="22"/>
        </w:rPr>
        <w:t xml:space="preserve"> </w:t>
      </w:r>
      <w:proofErr w:type="spellStart"/>
      <w:r w:rsidRPr="00860339">
        <w:rPr>
          <w:rFonts w:eastAsia="Calibri"/>
          <w:sz w:val="22"/>
          <w:szCs w:val="22"/>
        </w:rPr>
        <w:t>Muglinov</w:t>
      </w:r>
      <w:proofErr w:type="spellEnd"/>
      <w:r w:rsidRPr="00860339">
        <w:rPr>
          <w:rFonts w:eastAsia="Calibri"/>
          <w:sz w:val="22"/>
          <w:szCs w:val="22"/>
        </w:rPr>
        <w:t>, včetně přilehlého pozemku p. č. 200/71 sloužícího jako příjezd/přístup.</w:t>
      </w:r>
    </w:p>
    <w:p w14:paraId="6A6F86B2" w14:textId="60FC03F2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Dílo bude provedeno jako kompletní, bezpečný, provozuschopný a funkční celek v souladu s</w:t>
      </w:r>
      <w:r w:rsidR="003B23F7" w:rsidRPr="00860339">
        <w:rPr>
          <w:rFonts w:eastAsia="Calibri"/>
          <w:sz w:val="22"/>
          <w:szCs w:val="22"/>
        </w:rPr>
        <w:t>e Smlouvou o dílo,</w:t>
      </w:r>
      <w:r w:rsidRPr="00860339">
        <w:rPr>
          <w:rFonts w:eastAsia="Calibri"/>
          <w:sz w:val="22"/>
          <w:szCs w:val="22"/>
        </w:rPr>
        <w:t xml:space="preserve"> projektovou dokumentací</w:t>
      </w:r>
      <w:r w:rsidR="003B23F7" w:rsidRPr="00860339">
        <w:rPr>
          <w:rFonts w:eastAsia="Calibri"/>
          <w:sz w:val="22"/>
          <w:szCs w:val="22"/>
        </w:rPr>
        <w:t xml:space="preserve"> a </w:t>
      </w:r>
      <w:r w:rsidRPr="00860339">
        <w:rPr>
          <w:rFonts w:eastAsia="Calibri"/>
          <w:sz w:val="22"/>
          <w:szCs w:val="22"/>
        </w:rPr>
        <w:t>touto Technickou specifikací</w:t>
      </w:r>
      <w:r w:rsidR="003B23F7" w:rsidRPr="00860339">
        <w:rPr>
          <w:rFonts w:eastAsia="Calibri"/>
          <w:sz w:val="22"/>
          <w:szCs w:val="22"/>
        </w:rPr>
        <w:t>.</w:t>
      </w:r>
    </w:p>
    <w:p w14:paraId="538F413D" w14:textId="77777777" w:rsidR="00C01196" w:rsidRPr="007E71BF" w:rsidRDefault="00322A97" w:rsidP="00860339">
      <w:pPr>
        <w:pStyle w:val="Nadpis1"/>
        <w:spacing w:before="320" w:after="160"/>
        <w:jc w:val="both"/>
      </w:pPr>
      <w:r w:rsidRPr="00860339">
        <w:rPr>
          <w:rFonts w:eastAsia="Calibri"/>
          <w:b/>
          <w:bCs/>
          <w:sz w:val="26"/>
          <w:szCs w:val="26"/>
        </w:rPr>
        <w:t>2. Rozsah dodávky a prací</w:t>
      </w:r>
    </w:p>
    <w:p w14:paraId="39C6B48D" w14:textId="77777777" w:rsidR="00C01196" w:rsidRPr="00860339" w:rsidRDefault="00322A97" w:rsidP="00860339">
      <w:pPr>
        <w:spacing w:after="12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Součástí předmětu plnění je zejména:</w:t>
      </w:r>
    </w:p>
    <w:p w14:paraId="17095493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dodávka a montáž fotovoltaických panelů, nosných konstrukcí, střídačů, bateriových úložišť, optimizérů a rozvaděčů;</w:t>
      </w:r>
    </w:p>
    <w:p w14:paraId="766FA52C" w14:textId="77777777" w:rsidR="00E96334" w:rsidRPr="00860339" w:rsidRDefault="00E96334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kontrola a převzetí předem provedené přípravy (kabelové trasy, DC kabeláž) do 5 pracovních dnů od předání staveniště, se záznamem do stavebního deníku či samostatného protokolu;</w:t>
      </w:r>
    </w:p>
    <w:p w14:paraId="0079DAE5" w14:textId="77777777" w:rsidR="003A50BA" w:rsidRPr="007E71BF" w:rsidRDefault="003A50BA" w:rsidP="00860339">
      <w:pPr>
        <w:spacing w:after="60"/>
        <w:ind w:left="160"/>
        <w:jc w:val="both"/>
      </w:pPr>
    </w:p>
    <w:p w14:paraId="012EEB80" w14:textId="3F303E6B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 xml:space="preserve">Výpis provedené přípravy: </w:t>
      </w:r>
    </w:p>
    <w:p w14:paraId="000D422E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- Rozvaděč - příprava pro FVE </w:t>
      </w:r>
    </w:p>
    <w:p w14:paraId="17B0866D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 xml:space="preserve"> - </w:t>
      </w:r>
      <w:proofErr w:type="spellStart"/>
      <w:r w:rsidRPr="00860339">
        <w:rPr>
          <w:sz w:val="22"/>
          <w:szCs w:val="22"/>
        </w:rPr>
        <w:t>mč</w:t>
      </w:r>
      <w:proofErr w:type="spellEnd"/>
      <w:r w:rsidRPr="00860339">
        <w:rPr>
          <w:sz w:val="22"/>
          <w:szCs w:val="22"/>
        </w:rPr>
        <w:t>. 131 (místnost kde budou baterie) - protipožární dveře, protipožární větrací mřížky ve stěně (2ks)</w:t>
      </w:r>
    </w:p>
    <w:p w14:paraId="6A21CCE9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- kabeláž z místnosti 131 na střechu vč. rezervy na střeše: </w:t>
      </w:r>
    </w:p>
    <w:p w14:paraId="2DBEFB07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    - Kabel DC 6mm2 červený: 60bm x 4ks vč. chráničky </w:t>
      </w:r>
    </w:p>
    <w:p w14:paraId="12B110E4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    - Kabel DC 6mm2 černý: 60bm x 4ks vč. chráničky </w:t>
      </w:r>
    </w:p>
    <w:p w14:paraId="2DE1AA09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 xml:space="preserve">     - Kabel žlutozelený H07V-K 16: 60bm x 2ks (1x v chráničce s červeným DC </w:t>
      </w:r>
      <w:proofErr w:type="spellStart"/>
      <w:r w:rsidRPr="00860339">
        <w:rPr>
          <w:sz w:val="22"/>
          <w:szCs w:val="22"/>
        </w:rPr>
        <w:t>kablem</w:t>
      </w:r>
      <w:proofErr w:type="spellEnd"/>
      <w:r w:rsidRPr="00860339">
        <w:rPr>
          <w:sz w:val="22"/>
          <w:szCs w:val="22"/>
        </w:rPr>
        <w:t xml:space="preserve">, 1x v chráničce s černým DC </w:t>
      </w:r>
      <w:proofErr w:type="spellStart"/>
      <w:r w:rsidRPr="00860339">
        <w:rPr>
          <w:sz w:val="22"/>
          <w:szCs w:val="22"/>
        </w:rPr>
        <w:t>kablem</w:t>
      </w:r>
      <w:proofErr w:type="spellEnd"/>
      <w:r w:rsidRPr="00860339">
        <w:rPr>
          <w:sz w:val="22"/>
          <w:szCs w:val="22"/>
        </w:rPr>
        <w:t>)</w:t>
      </w:r>
    </w:p>
    <w:p w14:paraId="4544DF61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    - Kabel J-Y (St) Y 2x2x0,8: 60bm x ks vč. chráničky </w:t>
      </w:r>
    </w:p>
    <w:p w14:paraId="7E3A6A58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- protipožární manžety v místech prostupů kabeláže:</w:t>
      </w:r>
    </w:p>
    <w:p w14:paraId="220EB791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 xml:space="preserve">     - </w:t>
      </w:r>
      <w:proofErr w:type="spellStart"/>
      <w:r w:rsidRPr="00860339">
        <w:rPr>
          <w:sz w:val="22"/>
          <w:szCs w:val="22"/>
        </w:rPr>
        <w:t>mč</w:t>
      </w:r>
      <w:proofErr w:type="spellEnd"/>
      <w:r w:rsidRPr="00860339">
        <w:rPr>
          <w:sz w:val="22"/>
          <w:szCs w:val="22"/>
        </w:rPr>
        <w:t>. 131/112: 6ks </w:t>
      </w:r>
    </w:p>
    <w:p w14:paraId="29A50A6C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 xml:space="preserve">     - </w:t>
      </w:r>
      <w:proofErr w:type="spellStart"/>
      <w:r w:rsidRPr="00860339">
        <w:rPr>
          <w:sz w:val="22"/>
          <w:szCs w:val="22"/>
        </w:rPr>
        <w:t>mč</w:t>
      </w:r>
      <w:proofErr w:type="spellEnd"/>
      <w:r w:rsidRPr="00860339">
        <w:rPr>
          <w:sz w:val="22"/>
          <w:szCs w:val="22"/>
        </w:rPr>
        <w:t>. 112/101: 6ks </w:t>
      </w:r>
    </w:p>
    <w:p w14:paraId="3B8D956B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    - na střechu: 3ks </w:t>
      </w:r>
    </w:p>
    <w:p w14:paraId="41AA0EF3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> - revizní dvířka u požárních ucpávek: 3ks </w:t>
      </w:r>
    </w:p>
    <w:p w14:paraId="340C5B64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  <w:r w:rsidRPr="00860339">
        <w:rPr>
          <w:sz w:val="22"/>
          <w:szCs w:val="22"/>
        </w:rPr>
        <w:t xml:space="preserve"> - </w:t>
      </w:r>
      <w:proofErr w:type="spellStart"/>
      <w:r w:rsidRPr="00860339">
        <w:rPr>
          <w:sz w:val="22"/>
          <w:szCs w:val="22"/>
        </w:rPr>
        <w:t>mč</w:t>
      </w:r>
      <w:proofErr w:type="spellEnd"/>
      <w:r w:rsidRPr="00860339">
        <w:rPr>
          <w:sz w:val="22"/>
          <w:szCs w:val="22"/>
        </w:rPr>
        <w:t>. 112 - kabeláž vedena v protipožárním SDK kastlíku v podhledu </w:t>
      </w:r>
    </w:p>
    <w:p w14:paraId="73F824E0" w14:textId="77777777" w:rsidR="003A50BA" w:rsidRPr="00860339" w:rsidRDefault="003A50BA" w:rsidP="00860339">
      <w:pPr>
        <w:spacing w:after="60"/>
        <w:ind w:left="160"/>
        <w:jc w:val="both"/>
        <w:rPr>
          <w:sz w:val="22"/>
          <w:szCs w:val="22"/>
        </w:rPr>
      </w:pPr>
    </w:p>
    <w:p w14:paraId="5BFE4C97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napojení provedené přípravy kabeláže a kabelových tras, ochranné a jistící prvky, uzemnění, přepěťové ochrany, řídicí a monitorovací prvky a další související technologické vybavení;</w:t>
      </w:r>
    </w:p>
    <w:p w14:paraId="45CD17BE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napojení technologie FVE na stávající elektroinstalaci objektu, související stavební a montážní práce;</w:t>
      </w:r>
    </w:p>
    <w:p w14:paraId="7E449319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nastavení a zprovoznění systému, funkční zkoušky, výchozí revize, uvedení do provozu;</w:t>
      </w:r>
    </w:p>
    <w:p w14:paraId="27CC1FEB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kompletní revize stávající jímací soustavy (hromosvodu) dotčeného objektu, posouzení vhodnosti stávající ochrany před bleskem, návrh nezbytných úprav, doložení výpočtu dostatečných vzdáleností, výchozí revize a předání revizní dokumentace;</w:t>
      </w:r>
    </w:p>
    <w:p w14:paraId="5CF13B55" w14:textId="38D7711A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lastRenderedPageBreak/>
        <w:t xml:space="preserve">předání kompletní dokladové části vč. dokumentace skutečného provedení (podrobný výčet předávaných dokladů stanoví čl. </w:t>
      </w:r>
      <w:r w:rsidR="003B23F7">
        <w:rPr>
          <w:rFonts w:eastAsia="Calibri"/>
          <w:sz w:val="22"/>
          <w:szCs w:val="22"/>
        </w:rPr>
        <w:t>VIII.</w:t>
      </w:r>
      <w:r w:rsidRPr="00860339">
        <w:rPr>
          <w:rFonts w:eastAsia="Calibri"/>
          <w:sz w:val="22"/>
          <w:szCs w:val="22"/>
        </w:rPr>
        <w:t xml:space="preserve"> Smlouvy o dílo).</w:t>
      </w:r>
    </w:p>
    <w:p w14:paraId="59743592" w14:textId="77777777" w:rsidR="00C01196" w:rsidRPr="007E71BF" w:rsidRDefault="00322A97" w:rsidP="00860339">
      <w:pPr>
        <w:pStyle w:val="Nadpis1"/>
        <w:spacing w:before="320" w:after="160"/>
        <w:jc w:val="both"/>
      </w:pPr>
      <w:r w:rsidRPr="00860339">
        <w:rPr>
          <w:rFonts w:eastAsia="Calibri"/>
          <w:b/>
          <w:bCs/>
          <w:sz w:val="26"/>
          <w:szCs w:val="26"/>
        </w:rPr>
        <w:t>3. Požadavky na technologické komponenty</w:t>
      </w:r>
    </w:p>
    <w:p w14:paraId="5A380D56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3.1 Certifikace a technické normy</w:t>
      </w:r>
    </w:p>
    <w:p w14:paraId="33647A47" w14:textId="77777777" w:rsidR="00C01196" w:rsidRPr="007E71BF" w:rsidRDefault="00322A97" w:rsidP="00860339">
      <w:pPr>
        <w:spacing w:after="120"/>
        <w:jc w:val="both"/>
      </w:pPr>
      <w:r w:rsidRPr="00860339">
        <w:rPr>
          <w:rFonts w:eastAsia="Calibri"/>
          <w:sz w:val="21"/>
          <w:szCs w:val="21"/>
        </w:rPr>
        <w:t>Instalovány mohou být výhradně fotovoltaické moduly, měniče a akumulátory s nezávisle ověřenými parametry prokázanými certifikáty vydanými akreditovanými certifikačními orgány, a to na základě těchto souborů norem: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0"/>
      </w:tblGrid>
      <w:tr w:rsidR="00C01196" w:rsidRPr="007E71BF" w14:paraId="5B647D5D" w14:textId="77777777">
        <w:trPr>
          <w:tblHeader/>
        </w:trPr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3CE0F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  <w:b/>
                <w:bCs/>
              </w:rPr>
              <w:t>Technologie</w:t>
            </w:r>
          </w:p>
        </w:tc>
        <w:tc>
          <w:tcPr>
            <w:tcW w:w="675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F4EE3C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  <w:b/>
                <w:bCs/>
              </w:rPr>
              <w:t>Soubory norem (je-li relevantní)</w:t>
            </w:r>
          </w:p>
        </w:tc>
      </w:tr>
      <w:tr w:rsidR="00C01196" w:rsidRPr="007E71BF" w14:paraId="5206A8F2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2A4582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Fotovoltaické moduly</w:t>
            </w:r>
          </w:p>
        </w:tc>
        <w:tc>
          <w:tcPr>
            <w:tcW w:w="67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B95535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IEC 61215, IEC 61730</w:t>
            </w:r>
          </w:p>
        </w:tc>
      </w:tr>
      <w:tr w:rsidR="00C01196" w:rsidRPr="007E71BF" w14:paraId="14042F8E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C2BD2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Měniče</w:t>
            </w:r>
          </w:p>
        </w:tc>
        <w:tc>
          <w:tcPr>
            <w:tcW w:w="67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A044F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IEC 61727 nebo IEC 62116 nebo EN 50549-1 / EN 50549-2</w:t>
            </w:r>
          </w:p>
        </w:tc>
      </w:tr>
      <w:tr w:rsidR="00C01196" w:rsidRPr="007E71BF" w14:paraId="4DEAA408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120F1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Elektrické akumulátory</w:t>
            </w:r>
          </w:p>
        </w:tc>
        <w:tc>
          <w:tcPr>
            <w:tcW w:w="67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9ACE4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dle typu akumulátoru (pro nejčastější lithiové akumulátory IEC 63056 nebo IEC 62619 nebo IEC 62620 nebo EN 62619 nebo EN 62620 nebo EN 63056)</w:t>
            </w:r>
          </w:p>
        </w:tc>
      </w:tr>
    </w:tbl>
    <w:p w14:paraId="3DA3B4C0" w14:textId="77777777" w:rsidR="00C01196" w:rsidRPr="007E71BF" w:rsidRDefault="00C01196" w:rsidP="00860339">
      <w:pPr>
        <w:spacing w:after="120"/>
        <w:jc w:val="both"/>
      </w:pPr>
    </w:p>
    <w:p w14:paraId="4C5A0E87" w14:textId="77777777" w:rsidR="00C01196" w:rsidRPr="007E71BF" w:rsidRDefault="00322A97" w:rsidP="00860339">
      <w:pPr>
        <w:spacing w:after="120"/>
        <w:jc w:val="both"/>
      </w:pPr>
      <w:r w:rsidRPr="00860339">
        <w:rPr>
          <w:rFonts w:eastAsia="Calibri"/>
          <w:sz w:val="21"/>
          <w:szCs w:val="21"/>
        </w:rPr>
        <w:t>Veškeré komponenty musí dále splňovat požadavky zákona č. 22/1997 Sb., o technických požadavcích na výrobky, ve znění pozdějších předpisů, příslušné závazné části norem ČSN/EN a musí být určeny pro dlouhodobý provoz na území Evropské unie.</w:t>
      </w:r>
    </w:p>
    <w:p w14:paraId="35EC36A6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3.2 Minimální účinnost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0"/>
        <w:gridCol w:w="6050"/>
      </w:tblGrid>
      <w:tr w:rsidR="00C01196" w:rsidRPr="007E71BF" w14:paraId="5B5DD1D9" w14:textId="77777777">
        <w:trPr>
          <w:tblHeader/>
        </w:trPr>
        <w:tc>
          <w:tcPr>
            <w:tcW w:w="33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93D78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  <w:b/>
                <w:bCs/>
              </w:rPr>
              <w:t>Technologie</w:t>
            </w:r>
          </w:p>
        </w:tc>
        <w:tc>
          <w:tcPr>
            <w:tcW w:w="605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B80328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  <w:b/>
                <w:bCs/>
              </w:rPr>
              <w:t>Minimální účinnost</w:t>
            </w:r>
          </w:p>
        </w:tc>
      </w:tr>
      <w:tr w:rsidR="00C01196" w:rsidRPr="007E71BF" w14:paraId="2DDEB091" w14:textId="77777777">
        <w:tc>
          <w:tcPr>
            <w:tcW w:w="3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85424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Fotovoltaické moduly při standardních testovacích podmínkách (STC)</w:t>
            </w:r>
          </w:p>
        </w:tc>
        <w:tc>
          <w:tcPr>
            <w:tcW w:w="6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0A88B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 xml:space="preserve">21,0 % – </w:t>
            </w:r>
            <w:proofErr w:type="spellStart"/>
            <w:r w:rsidRPr="00860339">
              <w:rPr>
                <w:rFonts w:eastAsia="Calibri"/>
              </w:rPr>
              <w:t>monofaciální</w:t>
            </w:r>
            <w:proofErr w:type="spellEnd"/>
            <w:r w:rsidRPr="00860339">
              <w:rPr>
                <w:rFonts w:eastAsia="Calibri"/>
              </w:rPr>
              <w:t xml:space="preserve"> monokrystalické; 20,0 % – </w:t>
            </w:r>
            <w:proofErr w:type="spellStart"/>
            <w:r w:rsidRPr="00860339">
              <w:rPr>
                <w:rFonts w:eastAsia="Calibri"/>
              </w:rPr>
              <w:t>monofaciální</w:t>
            </w:r>
            <w:proofErr w:type="spellEnd"/>
            <w:r w:rsidRPr="00860339">
              <w:rPr>
                <w:rFonts w:eastAsia="Calibri"/>
              </w:rPr>
              <w:t xml:space="preserve"> </w:t>
            </w:r>
            <w:proofErr w:type="spellStart"/>
            <w:r w:rsidRPr="00860339">
              <w:rPr>
                <w:rFonts w:eastAsia="Calibri"/>
              </w:rPr>
              <w:t>multikrystalické</w:t>
            </w:r>
            <w:proofErr w:type="spellEnd"/>
            <w:r w:rsidRPr="00860339">
              <w:rPr>
                <w:rFonts w:eastAsia="Calibri"/>
              </w:rPr>
              <w:t>; 21,0 % – bifaciální při 0 % bifaciálním zisku; 12,0 % – tenkovrstvé; nestanoveno pro speciální výrobky a použití</w:t>
            </w:r>
          </w:p>
        </w:tc>
      </w:tr>
      <w:tr w:rsidR="00C01196" w:rsidRPr="007E71BF" w14:paraId="0CE7DBAC" w14:textId="77777777">
        <w:tc>
          <w:tcPr>
            <w:tcW w:w="3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287CDF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Měniče</w:t>
            </w:r>
          </w:p>
        </w:tc>
        <w:tc>
          <w:tcPr>
            <w:tcW w:w="6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4B5AD1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97,0 % (Euro účinnost)</w:t>
            </w:r>
          </w:p>
        </w:tc>
      </w:tr>
    </w:tbl>
    <w:p w14:paraId="35E2FD7F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3.3 Garantovaná životnost a záruky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0"/>
        <w:gridCol w:w="6050"/>
      </w:tblGrid>
      <w:tr w:rsidR="00C01196" w:rsidRPr="007E71BF" w14:paraId="34C2A962" w14:textId="77777777">
        <w:trPr>
          <w:tblHeader/>
        </w:trPr>
        <w:tc>
          <w:tcPr>
            <w:tcW w:w="33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3CAD3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  <w:b/>
                <w:bCs/>
              </w:rPr>
              <w:t>Technologie</w:t>
            </w:r>
          </w:p>
        </w:tc>
        <w:tc>
          <w:tcPr>
            <w:tcW w:w="605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28EAC0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  <w:b/>
                <w:bCs/>
              </w:rPr>
              <w:t>Požadované zajištění životnosti / záruka</w:t>
            </w:r>
          </w:p>
        </w:tc>
      </w:tr>
      <w:tr w:rsidR="00C01196" w:rsidRPr="007E71BF" w14:paraId="06ADF0A4" w14:textId="77777777">
        <w:tc>
          <w:tcPr>
            <w:tcW w:w="3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8E214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Fotovoltaické moduly</w:t>
            </w:r>
          </w:p>
        </w:tc>
        <w:tc>
          <w:tcPr>
            <w:tcW w:w="6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5EC10" w14:textId="6BDC7586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 xml:space="preserve">min. 25letá lineární záruka na výkon s max. poklesem na 80 % původního výkonu garantovaná výrobcem; min. 12letá produktová záruka </w:t>
            </w:r>
          </w:p>
        </w:tc>
      </w:tr>
      <w:tr w:rsidR="00C01196" w:rsidRPr="007E71BF" w14:paraId="3E00900E" w14:textId="77777777">
        <w:tc>
          <w:tcPr>
            <w:tcW w:w="3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57A59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Měniče</w:t>
            </w:r>
          </w:p>
        </w:tc>
        <w:tc>
          <w:tcPr>
            <w:tcW w:w="6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63A011" w14:textId="1B703E9D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záruka trvající min. 10 let na bezodkladnou výměnu či adekvátní náhradu v případě poruchy či poškození</w:t>
            </w:r>
          </w:p>
        </w:tc>
      </w:tr>
      <w:tr w:rsidR="00C01196" w:rsidRPr="007E71BF" w14:paraId="5420F4D9" w14:textId="77777777">
        <w:tc>
          <w:tcPr>
            <w:tcW w:w="3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A347CC" w14:textId="77777777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Elektrické akumulátory</w:t>
            </w:r>
          </w:p>
        </w:tc>
        <w:tc>
          <w:tcPr>
            <w:tcW w:w="60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06275D" w14:textId="3C1ED305" w:rsidR="00C01196" w:rsidRPr="007E71BF" w:rsidRDefault="00322A97" w:rsidP="00860339">
            <w:pPr>
              <w:jc w:val="both"/>
            </w:pPr>
            <w:r w:rsidRPr="00860339">
              <w:rPr>
                <w:rFonts w:eastAsia="Calibri"/>
              </w:rPr>
              <w:t>záruka s max. poklesem na 80 % nominální kapacity po 10 letech provozu, nebo dosažení min. 2400násobku nominální energie (</w:t>
            </w:r>
            <w:proofErr w:type="spellStart"/>
            <w:r w:rsidRPr="00860339">
              <w:rPr>
                <w:rFonts w:eastAsia="Calibri"/>
              </w:rPr>
              <w:t>Energy</w:t>
            </w:r>
            <w:proofErr w:type="spellEnd"/>
            <w:r w:rsidRPr="00860339">
              <w:rPr>
                <w:rFonts w:eastAsia="Calibri"/>
              </w:rPr>
              <w:t xml:space="preserve"> </w:t>
            </w:r>
            <w:proofErr w:type="spellStart"/>
            <w:r w:rsidRPr="00860339">
              <w:rPr>
                <w:rFonts w:eastAsia="Calibri"/>
              </w:rPr>
              <w:t>Throughput</w:t>
            </w:r>
            <w:proofErr w:type="spellEnd"/>
            <w:r w:rsidRPr="00860339">
              <w:rPr>
                <w:rFonts w:eastAsia="Calibri"/>
              </w:rPr>
              <w:t>)</w:t>
            </w:r>
          </w:p>
        </w:tc>
      </w:tr>
    </w:tbl>
    <w:p w14:paraId="098AEB6F" w14:textId="77777777" w:rsidR="00C01196" w:rsidRPr="007E71BF" w:rsidRDefault="00C01196" w:rsidP="00860339">
      <w:pPr>
        <w:spacing w:after="120"/>
        <w:jc w:val="both"/>
      </w:pPr>
    </w:p>
    <w:p w14:paraId="045D9A7E" w14:textId="04DBC8B7" w:rsidR="003B23F7" w:rsidRPr="00860339" w:rsidRDefault="00322A97" w:rsidP="00860339">
      <w:pPr>
        <w:spacing w:after="120"/>
        <w:jc w:val="both"/>
        <w:rPr>
          <w:rFonts w:eastAsia="Calibri"/>
          <w:sz w:val="21"/>
          <w:szCs w:val="21"/>
        </w:rPr>
      </w:pPr>
      <w:r w:rsidRPr="00860339">
        <w:rPr>
          <w:rFonts w:eastAsia="Calibri"/>
          <w:sz w:val="21"/>
          <w:szCs w:val="21"/>
        </w:rPr>
        <w:t>Instalované měniče musí být vybaveny plynulou nebo diskrétní řiditelností dodávaného výkonu do elektrizační soustavy, umožňující změnu dodávaného výkonu výrobny.</w:t>
      </w:r>
    </w:p>
    <w:p w14:paraId="322B2C56" w14:textId="77777777" w:rsidR="00C01196" w:rsidRPr="007E71BF" w:rsidRDefault="00322A97" w:rsidP="00860339">
      <w:pPr>
        <w:pStyle w:val="Nadpis1"/>
        <w:spacing w:before="320" w:after="160"/>
        <w:jc w:val="both"/>
      </w:pPr>
      <w:r w:rsidRPr="00860339">
        <w:rPr>
          <w:rFonts w:eastAsia="Calibri"/>
          <w:b/>
          <w:bCs/>
          <w:sz w:val="26"/>
          <w:szCs w:val="26"/>
        </w:rPr>
        <w:t>4. Kybernetická bezpečnost</w:t>
      </w:r>
    </w:p>
    <w:p w14:paraId="3D50A54D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4.1 Obecný rámec</w:t>
      </w:r>
    </w:p>
    <w:p w14:paraId="59E24E71" w14:textId="05923352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Dodávané zařízení, software, komunikační rozhraní a systémy vzdáleného monitoringu musí splňovat požadavky právních předpisů ČR a EU vztahující se ke kybernetické bezpečnosti, jakož i požadavky a doporučení N</w:t>
      </w:r>
      <w:r w:rsidR="008A23EB" w:rsidRPr="00860339">
        <w:rPr>
          <w:rFonts w:eastAsia="Calibri"/>
          <w:sz w:val="22"/>
          <w:szCs w:val="22"/>
        </w:rPr>
        <w:t xml:space="preserve">árodního ústavu pro kybernetickou a informační bezpečnost (dále jen </w:t>
      </w:r>
      <w:r w:rsidR="008A23EB" w:rsidRPr="00860339">
        <w:rPr>
          <w:rFonts w:eastAsia="Calibri"/>
          <w:b/>
          <w:bCs/>
          <w:i/>
          <w:iCs/>
          <w:sz w:val="22"/>
          <w:szCs w:val="22"/>
        </w:rPr>
        <w:t>„NÚKIB</w:t>
      </w:r>
      <w:r w:rsidR="008A23EB" w:rsidRPr="00860339">
        <w:rPr>
          <w:rFonts w:eastAsia="Calibri"/>
          <w:sz w:val="22"/>
          <w:szCs w:val="22"/>
        </w:rPr>
        <w:t>“)</w:t>
      </w:r>
      <w:r w:rsidRPr="00860339">
        <w:rPr>
          <w:rFonts w:eastAsia="Calibri"/>
          <w:sz w:val="22"/>
          <w:szCs w:val="22"/>
        </w:rPr>
        <w:t>, jsou-li na předmět Díla aplikovatelné.</w:t>
      </w:r>
    </w:p>
    <w:p w14:paraId="59E82C3A" w14:textId="54C795B9" w:rsidR="00C01196" w:rsidRPr="00860339" w:rsidRDefault="0090310B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doloží, zda jeho systémy a komponenty podléhají povinné certifikaci či registraci u NÚKIB, a případně předloží příslušná osvědčení.</w:t>
      </w:r>
    </w:p>
    <w:p w14:paraId="3AF58B7B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lastRenderedPageBreak/>
        <w:t>4.2 Původ a integrita komponentů</w:t>
      </w:r>
    </w:p>
    <w:p w14:paraId="78F4C26D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Střídače, bateriové management systémy, komunikační brány a monitoring musí pocházet od výrobců, kteří nejsou na sankčních seznamech EU/USA ani na seznamech nedůvěryhodných dodavatelů vydávaných NÚKIB.</w:t>
      </w:r>
    </w:p>
    <w:p w14:paraId="60D3BA25" w14:textId="07C7B83F" w:rsidR="00C01196" w:rsidRPr="00860339" w:rsidRDefault="0090310B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předloží prohlášení o dodavatelském řetězci identifikující výrobce klíčových komponentů a zemí jejich původu.</w:t>
      </w:r>
    </w:p>
    <w:p w14:paraId="359902AC" w14:textId="13F3FACB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Firmware všech zařízení musí být v době předání v aktuální stabilní verzi; </w:t>
      </w:r>
      <w:r w:rsidR="0090310B"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doloží verze firmware a </w:t>
      </w:r>
      <w:proofErr w:type="spellStart"/>
      <w:r w:rsidRPr="00860339">
        <w:rPr>
          <w:rFonts w:eastAsia="Calibri"/>
          <w:sz w:val="22"/>
          <w:szCs w:val="22"/>
        </w:rPr>
        <w:t>hashe</w:t>
      </w:r>
      <w:proofErr w:type="spellEnd"/>
      <w:r w:rsidRPr="00860339">
        <w:rPr>
          <w:rFonts w:eastAsia="Calibri"/>
          <w:sz w:val="22"/>
          <w:szCs w:val="22"/>
        </w:rPr>
        <w:t xml:space="preserve"> pro ověření integrity.</w:t>
      </w:r>
    </w:p>
    <w:p w14:paraId="4A08432C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4.3 Bezpečnostní vlastnosti zařízení</w:t>
      </w:r>
    </w:p>
    <w:p w14:paraId="3A05BBC9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Povinná změna hesla při prvním přihlášení u všech zařízení.</w:t>
      </w:r>
    </w:p>
    <w:p w14:paraId="0901EED5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Šifrovaná komunikace veškerých zařízení s cloudem, monitoringem či vzdálenou správou.</w:t>
      </w:r>
    </w:p>
    <w:p w14:paraId="2A340891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Možnost deaktivace nebo fyzického zabezpečení fyzického rozhraní pro servisní přístup.</w:t>
      </w:r>
    </w:p>
    <w:p w14:paraId="29397C71" w14:textId="11E8F02D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Zákaz hardwarových zadních vrátek či nedeklarovaných komunikačních kanálů – </w:t>
      </w:r>
      <w:r w:rsidR="0090310B"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předloží čestné prohlášení výrobce.</w:t>
      </w:r>
    </w:p>
    <w:p w14:paraId="1D67C5C2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4.4 Síťová architektura a vzdálený přístup</w:t>
      </w:r>
    </w:p>
    <w:p w14:paraId="311A5AA0" w14:textId="3052AB31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Systémy FVE musí být provozovány v samostatném síťovém segmentu (VLAN nebo fyzicky oddělená síť), odděleném od podnikové IT sítě </w:t>
      </w:r>
      <w:r w:rsidR="00A218F0">
        <w:rPr>
          <w:rFonts w:eastAsia="Calibri"/>
          <w:sz w:val="22"/>
          <w:szCs w:val="22"/>
        </w:rPr>
        <w:t>Objednatele</w:t>
      </w:r>
      <w:r w:rsidRPr="00860339">
        <w:rPr>
          <w:rFonts w:eastAsia="Calibri"/>
          <w:sz w:val="22"/>
          <w:szCs w:val="22"/>
        </w:rPr>
        <w:t>.</w:t>
      </w:r>
    </w:p>
    <w:p w14:paraId="5B1379F9" w14:textId="6E7E3D28" w:rsidR="00C01196" w:rsidRPr="00860339" w:rsidRDefault="0090310B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před zahájením instalace navrhne a zdokumentuje síťovou architekturu vč. všech komunikačních toků.</w:t>
      </w:r>
    </w:p>
    <w:p w14:paraId="153B3B19" w14:textId="7BFD16DF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Vzdálený přístup </w:t>
      </w:r>
      <w:r w:rsidR="0090310B">
        <w:rPr>
          <w:rFonts w:eastAsia="Calibri"/>
          <w:sz w:val="22"/>
          <w:szCs w:val="22"/>
        </w:rPr>
        <w:t>Zhotovitele</w:t>
      </w:r>
      <w:r w:rsidRPr="00860339">
        <w:rPr>
          <w:rFonts w:eastAsia="Calibri"/>
          <w:sz w:val="22"/>
          <w:szCs w:val="22"/>
        </w:rPr>
        <w:t xml:space="preserve">/výrobce výhradně přes zabezpečený VPN tunel s </w:t>
      </w:r>
      <w:proofErr w:type="spellStart"/>
      <w:r w:rsidRPr="00860339">
        <w:rPr>
          <w:rFonts w:eastAsia="Calibri"/>
          <w:sz w:val="22"/>
          <w:szCs w:val="22"/>
        </w:rPr>
        <w:t>vícefaktorovou</w:t>
      </w:r>
      <w:proofErr w:type="spellEnd"/>
      <w:r w:rsidRPr="00860339">
        <w:rPr>
          <w:rFonts w:eastAsia="Calibri"/>
          <w:sz w:val="22"/>
          <w:szCs w:val="22"/>
        </w:rPr>
        <w:t xml:space="preserve"> autentizací, s logováním (uchování logů min. 1 rok).</w:t>
      </w:r>
    </w:p>
    <w:p w14:paraId="1C56E84E" w14:textId="7B5539E6" w:rsidR="00C01196" w:rsidRPr="00860339" w:rsidRDefault="00A218F0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Objednatel</w:t>
      </w:r>
      <w:r w:rsidRPr="00860339">
        <w:rPr>
          <w:rFonts w:eastAsia="Calibri"/>
          <w:sz w:val="22"/>
          <w:szCs w:val="22"/>
        </w:rPr>
        <w:t xml:space="preserve"> může vzdálený přístup kdykoli ukončit nebo omezit; trvalé vzdálené připojení bez souhlasu </w:t>
      </w:r>
      <w:r>
        <w:rPr>
          <w:rFonts w:eastAsia="Calibri"/>
          <w:sz w:val="22"/>
          <w:szCs w:val="22"/>
        </w:rPr>
        <w:t xml:space="preserve">Objednatele </w:t>
      </w:r>
      <w:r w:rsidRPr="00860339">
        <w:rPr>
          <w:rFonts w:eastAsia="Calibri"/>
          <w:sz w:val="22"/>
          <w:szCs w:val="22"/>
        </w:rPr>
        <w:t>je zakázáno.</w:t>
      </w:r>
    </w:p>
    <w:p w14:paraId="4D1AB0FB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4.5 Cloudové služby a zpracování dat</w:t>
      </w:r>
    </w:p>
    <w:p w14:paraId="14047350" w14:textId="0F9B184E" w:rsidR="00C01196" w:rsidRPr="00860339" w:rsidRDefault="0090310B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jednoznačně identifikuje, jaká provozní data jsou odesílána do cloudu výrobce/třetí strany, na jaké servery a za jakým účelem.</w:t>
      </w:r>
    </w:p>
    <w:p w14:paraId="09C88DA5" w14:textId="4C00239B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Data o výrobě a provozu FVE nesmí být ukládána mimo EU bez výslovného písemného souhlasu </w:t>
      </w:r>
      <w:r w:rsidR="008A23EB">
        <w:rPr>
          <w:rFonts w:eastAsia="Calibri"/>
          <w:sz w:val="22"/>
          <w:szCs w:val="22"/>
        </w:rPr>
        <w:t>Objednatele</w:t>
      </w:r>
      <w:r w:rsidRPr="00860339">
        <w:rPr>
          <w:rFonts w:eastAsia="Calibri"/>
          <w:sz w:val="22"/>
          <w:szCs w:val="22"/>
        </w:rPr>
        <w:t>.</w:t>
      </w:r>
    </w:p>
    <w:p w14:paraId="6DEEB4A7" w14:textId="3C62BEC9" w:rsidR="00C01196" w:rsidRPr="00860339" w:rsidRDefault="0090310B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předloží podmínky zpracování dat v souladu s GDPR.</w:t>
      </w:r>
    </w:p>
    <w:p w14:paraId="7029CD1C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4.6 Software a aktualizace</w:t>
      </w:r>
    </w:p>
    <w:p w14:paraId="0EAE9A4B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Dostupnost bezpečnostních aktualizací firmware a softwaru po dobu min. 5 let od předání díla; každá bezpečnostní záplata bude písemně oznámena.</w:t>
      </w:r>
    </w:p>
    <w:p w14:paraId="576B8C0C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Software pro monitoring a SCADA/HMI rozhraní nesmí ke dni předání díla obsahovat komponenty se známou aktivní zranitelností v databázi CVE s hodnocením CVSS ≥ 7,0.</w:t>
      </w:r>
    </w:p>
    <w:p w14:paraId="53E89022" w14:textId="77777777" w:rsidR="00C01196" w:rsidRPr="007E71BF" w:rsidRDefault="00322A97" w:rsidP="00860339">
      <w:pPr>
        <w:pStyle w:val="Nadpis2"/>
        <w:spacing w:before="240" w:after="120"/>
        <w:jc w:val="both"/>
      </w:pPr>
      <w:r w:rsidRPr="00860339">
        <w:rPr>
          <w:rFonts w:eastAsia="Calibri"/>
          <w:b/>
          <w:bCs/>
          <w:sz w:val="23"/>
          <w:szCs w:val="23"/>
        </w:rPr>
        <w:t>4.7 Řízení přístupu a správa identit</w:t>
      </w:r>
    </w:p>
    <w:p w14:paraId="1BEE5826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Podpora správy přístupových oprávnění; sdílené účty jsou zakázány – každý uživatel má samostatný účet.</w:t>
      </w:r>
    </w:p>
    <w:p w14:paraId="38EAE450" w14:textId="77777777" w:rsidR="00C01196" w:rsidRPr="00860339" w:rsidRDefault="00322A97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Audit log přístupů (kdo, kdy, jaká operace) s možností exportu.</w:t>
      </w:r>
    </w:p>
    <w:p w14:paraId="4695230B" w14:textId="77777777" w:rsidR="00E23EA6" w:rsidRDefault="00E23EA6" w:rsidP="00E23EA6">
      <w:pPr>
        <w:spacing w:after="60"/>
        <w:jc w:val="both"/>
        <w:rPr>
          <w:sz w:val="22"/>
          <w:szCs w:val="22"/>
        </w:rPr>
      </w:pPr>
    </w:p>
    <w:p w14:paraId="065581B6" w14:textId="77777777" w:rsidR="00E23EA6" w:rsidRDefault="00E23EA6" w:rsidP="00E23EA6">
      <w:pPr>
        <w:spacing w:after="60"/>
        <w:jc w:val="both"/>
        <w:rPr>
          <w:sz w:val="22"/>
          <w:szCs w:val="22"/>
        </w:rPr>
      </w:pPr>
    </w:p>
    <w:p w14:paraId="6DCF8593" w14:textId="77777777" w:rsidR="00E23EA6" w:rsidRDefault="00E23EA6" w:rsidP="00860339">
      <w:pPr>
        <w:spacing w:after="60"/>
        <w:jc w:val="both"/>
        <w:rPr>
          <w:sz w:val="22"/>
          <w:szCs w:val="22"/>
        </w:rPr>
      </w:pPr>
    </w:p>
    <w:p w14:paraId="79BA8340" w14:textId="77777777" w:rsidR="00E542A5" w:rsidRDefault="00E542A5" w:rsidP="00860339">
      <w:pPr>
        <w:spacing w:after="60"/>
        <w:jc w:val="both"/>
        <w:rPr>
          <w:sz w:val="22"/>
          <w:szCs w:val="22"/>
        </w:rPr>
      </w:pPr>
    </w:p>
    <w:p w14:paraId="4F2172AE" w14:textId="77777777" w:rsidR="00E542A5" w:rsidRPr="00860339" w:rsidRDefault="00E542A5" w:rsidP="00860339">
      <w:pPr>
        <w:spacing w:after="60"/>
        <w:jc w:val="both"/>
        <w:rPr>
          <w:sz w:val="22"/>
          <w:szCs w:val="22"/>
        </w:rPr>
      </w:pPr>
    </w:p>
    <w:p w14:paraId="5B1D7FBF" w14:textId="479D2B3B" w:rsidR="00C01196" w:rsidRPr="007E71BF" w:rsidRDefault="008A23EB" w:rsidP="00860339">
      <w:pPr>
        <w:pStyle w:val="Nadpis1"/>
        <w:spacing w:before="320" w:after="160"/>
        <w:jc w:val="both"/>
      </w:pPr>
      <w:r>
        <w:rPr>
          <w:rFonts w:eastAsia="Calibri"/>
          <w:b/>
          <w:bCs/>
          <w:sz w:val="26"/>
          <w:szCs w:val="26"/>
        </w:rPr>
        <w:lastRenderedPageBreak/>
        <w:t>5</w:t>
      </w:r>
      <w:r w:rsidRPr="00860339">
        <w:rPr>
          <w:rFonts w:eastAsia="Calibri"/>
          <w:b/>
          <w:bCs/>
          <w:sz w:val="26"/>
          <w:szCs w:val="26"/>
        </w:rPr>
        <w:t>. Monitoring a dispečerské řízení</w:t>
      </w:r>
    </w:p>
    <w:p w14:paraId="15BA99AE" w14:textId="77777777" w:rsidR="00C01196" w:rsidRPr="00860339" w:rsidRDefault="00322A97" w:rsidP="00860339">
      <w:pPr>
        <w:spacing w:after="12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Systém musí umožňovat nepřetržitý monitoring výroby, spotřeby, stavu bateriového úložiště a dalších provozních veličin, minimálně v tomto rozsahu: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C01196" w:rsidRPr="00164388" w14:paraId="188AF1D7" w14:textId="77777777">
        <w:trPr>
          <w:tblHeader/>
        </w:trPr>
        <w:tc>
          <w:tcPr>
            <w:tcW w:w="4675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67324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b/>
                <w:bCs/>
                <w:sz w:val="22"/>
                <w:szCs w:val="22"/>
              </w:rPr>
              <w:t>Veličina</w:t>
            </w:r>
          </w:p>
        </w:tc>
        <w:tc>
          <w:tcPr>
            <w:tcW w:w="4675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BF822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b/>
                <w:bCs/>
                <w:sz w:val="22"/>
                <w:szCs w:val="22"/>
              </w:rPr>
              <w:t>Místo měření</w:t>
            </w:r>
          </w:p>
        </w:tc>
      </w:tr>
      <w:tr w:rsidR="00C01196" w:rsidRPr="00164388" w14:paraId="735BE4A8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C9581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Výkon AC (kW)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B04BE1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Výstup střídačů, předávací místo</w:t>
            </w:r>
          </w:p>
        </w:tc>
      </w:tr>
      <w:tr w:rsidR="00C01196" w:rsidRPr="00164388" w14:paraId="1FD1A493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5FECC8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Výroba energie (kWh)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B6FED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Kumulativní, každý střídač</w:t>
            </w:r>
          </w:p>
        </w:tc>
      </w:tr>
      <w:tr w:rsidR="00C01196" w:rsidRPr="00164388" w14:paraId="3D217ED5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36E33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Napětí a proud DC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7695A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 xml:space="preserve">Každý </w:t>
            </w:r>
            <w:proofErr w:type="spellStart"/>
            <w:r w:rsidRPr="00860339">
              <w:rPr>
                <w:rFonts w:eastAsia="Calibri"/>
                <w:sz w:val="22"/>
                <w:szCs w:val="22"/>
              </w:rPr>
              <w:t>string</w:t>
            </w:r>
            <w:proofErr w:type="spellEnd"/>
            <w:r w:rsidRPr="00860339">
              <w:rPr>
                <w:rFonts w:eastAsia="Calibri"/>
                <w:sz w:val="22"/>
                <w:szCs w:val="22"/>
              </w:rPr>
              <w:t xml:space="preserve"> nebo MPPT větev</w:t>
            </w:r>
          </w:p>
        </w:tc>
      </w:tr>
      <w:tr w:rsidR="00C01196" w:rsidRPr="00164388" w14:paraId="7F607632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0B82C0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Napětí a frekvence AC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3E3A1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Předávací místo</w:t>
            </w:r>
          </w:p>
        </w:tc>
      </w:tr>
      <w:tr w:rsidR="00C01196" w:rsidRPr="00164388" w14:paraId="5A384F4A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34CC8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Teplota panelů a okolní teplota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C56ECC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 xml:space="preserve">Min. 1 snímač / 100 </w:t>
            </w:r>
            <w:proofErr w:type="spellStart"/>
            <w:r w:rsidRPr="00860339">
              <w:rPr>
                <w:rFonts w:eastAsia="Calibri"/>
                <w:sz w:val="22"/>
                <w:szCs w:val="22"/>
              </w:rPr>
              <w:t>kWp</w:t>
            </w:r>
            <w:proofErr w:type="spellEnd"/>
          </w:p>
        </w:tc>
      </w:tr>
      <w:tr w:rsidR="00C01196" w:rsidRPr="00164388" w14:paraId="0FDBFADC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46B927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 xml:space="preserve">Sluneční </w:t>
            </w:r>
            <w:proofErr w:type="spellStart"/>
            <w:r w:rsidRPr="00860339">
              <w:rPr>
                <w:rFonts w:eastAsia="Calibri"/>
                <w:sz w:val="22"/>
                <w:szCs w:val="22"/>
              </w:rPr>
              <w:t>irradiace</w:t>
            </w:r>
            <w:proofErr w:type="spellEnd"/>
            <w:r w:rsidRPr="00860339">
              <w:rPr>
                <w:rFonts w:eastAsia="Calibri"/>
                <w:sz w:val="22"/>
                <w:szCs w:val="22"/>
              </w:rPr>
              <w:t xml:space="preserve"> (W/m²)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39DCE4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Min. 1 pyranometr v rovině panelů</w:t>
            </w:r>
          </w:p>
        </w:tc>
      </w:tr>
      <w:tr w:rsidR="00C01196" w:rsidRPr="00164388" w14:paraId="1AFA2285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39035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Stav a alarmy střídačů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00345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Každý střídač</w:t>
            </w:r>
          </w:p>
        </w:tc>
      </w:tr>
      <w:tr w:rsidR="00C01196" w:rsidRPr="00164388" w14:paraId="1BB58DF4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0B017E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Stav jističů a ochran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44E298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Hlavní rozváděč AC</w:t>
            </w:r>
          </w:p>
        </w:tc>
      </w:tr>
      <w:tr w:rsidR="00C01196" w:rsidRPr="00164388" w14:paraId="7AC600D3" w14:textId="77777777"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138DFA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Stav bateriového systému</w:t>
            </w:r>
          </w:p>
        </w:tc>
        <w:tc>
          <w:tcPr>
            <w:tcW w:w="467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A7C79" w14:textId="77777777" w:rsidR="00C01196" w:rsidRPr="00860339" w:rsidRDefault="00322A97" w:rsidP="00860339">
            <w:pPr>
              <w:jc w:val="both"/>
              <w:rPr>
                <w:sz w:val="22"/>
                <w:szCs w:val="22"/>
              </w:rPr>
            </w:pPr>
            <w:r w:rsidRPr="00860339">
              <w:rPr>
                <w:rFonts w:eastAsia="Calibri"/>
                <w:sz w:val="22"/>
                <w:szCs w:val="22"/>
              </w:rPr>
              <w:t>BMS</w:t>
            </w:r>
          </w:p>
        </w:tc>
      </w:tr>
    </w:tbl>
    <w:p w14:paraId="191A9AD0" w14:textId="77777777" w:rsidR="00C01196" w:rsidRPr="00860339" w:rsidRDefault="00C01196" w:rsidP="00860339">
      <w:pPr>
        <w:spacing w:after="120"/>
        <w:jc w:val="both"/>
        <w:rPr>
          <w:sz w:val="22"/>
          <w:szCs w:val="22"/>
        </w:rPr>
      </w:pPr>
    </w:p>
    <w:p w14:paraId="2CB1D04A" w14:textId="77777777" w:rsidR="00C01196" w:rsidRPr="00860339" w:rsidRDefault="00322A97" w:rsidP="00860339">
      <w:pPr>
        <w:spacing w:after="12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Dispečink dále zajistí:</w:t>
      </w:r>
    </w:p>
    <w:p w14:paraId="3C907F99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odpovídající přesnost měření a uchovávání, archivaci a export dat;</w:t>
      </w:r>
    </w:p>
    <w:p w14:paraId="0E7BECD2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víceúrovňovou správu uživatelských oprávnění;</w:t>
      </w:r>
    </w:p>
    <w:p w14:paraId="4338FEC5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webové rozhraní přístupné bez instalace specializovaného SW a mobilní aplikaci s </w:t>
      </w:r>
      <w:proofErr w:type="spellStart"/>
      <w:r w:rsidRPr="00860339">
        <w:rPr>
          <w:rFonts w:eastAsia="Calibri"/>
          <w:sz w:val="22"/>
          <w:szCs w:val="22"/>
        </w:rPr>
        <w:t>real-time</w:t>
      </w:r>
      <w:proofErr w:type="spellEnd"/>
      <w:r w:rsidRPr="00860339">
        <w:rPr>
          <w:rFonts w:eastAsia="Calibri"/>
          <w:sz w:val="22"/>
          <w:szCs w:val="22"/>
        </w:rPr>
        <w:t xml:space="preserve"> dashboardem (aktuální výkon, denní a celková výroba, stav zařízení, grafy, porovnání skutečné a predikované výroby), správu alarmů dle závažnosti a jejich zasílání, přehled dostupnosti střídačů a elektrárny, správu uživatelů a reporting (automatické generování, exporty);</w:t>
      </w:r>
    </w:p>
    <w:p w14:paraId="7C92942B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dálkové ovládání – spuštění/odstavení celé elektrárny i jednotlivých střídačů, nastavení omezení výkonu (P-limit) v kW i procentuálně, nastavení jalového výkonu/účiníku, vzdálené ovládání odpínačů a jističů, nastavení ochranných parametrů (napěťová, frekvenční) v rozsahu povoleném normami;</w:t>
      </w:r>
    </w:p>
    <w:p w14:paraId="1E4B3633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připravenost pro účast na podpůrných službách;</w:t>
      </w:r>
    </w:p>
    <w:p w14:paraId="466B10AD" w14:textId="77777777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>zařízení pro internetovou komunikaci;</w:t>
      </w:r>
    </w:p>
    <w:p w14:paraId="146BA800" w14:textId="0116EE1C" w:rsidR="00C01196" w:rsidRPr="00860339" w:rsidRDefault="00322A97" w:rsidP="00860339">
      <w:pPr>
        <w:pStyle w:val="Odstavecseseznamem"/>
        <w:numPr>
          <w:ilvl w:val="0"/>
          <w:numId w:val="2"/>
        </w:numPr>
        <w:spacing w:after="60"/>
        <w:jc w:val="both"/>
        <w:rPr>
          <w:sz w:val="22"/>
          <w:szCs w:val="22"/>
        </w:rPr>
      </w:pPr>
      <w:r w:rsidRPr="00860339">
        <w:rPr>
          <w:rFonts w:eastAsia="Calibri"/>
          <w:sz w:val="22"/>
          <w:szCs w:val="22"/>
        </w:rPr>
        <w:t xml:space="preserve">integraci s interními systémy </w:t>
      </w:r>
      <w:r w:rsidR="00A218F0" w:rsidRPr="00860339">
        <w:rPr>
          <w:rFonts w:eastAsia="Calibri"/>
          <w:sz w:val="22"/>
          <w:szCs w:val="22"/>
        </w:rPr>
        <w:t>Objednatele</w:t>
      </w:r>
      <w:r w:rsidRPr="00860339">
        <w:rPr>
          <w:rFonts w:eastAsia="Calibri"/>
          <w:sz w:val="22"/>
          <w:szCs w:val="22"/>
        </w:rPr>
        <w:t xml:space="preserve"> (API rozhraní, podpora různých protokolů).</w:t>
      </w:r>
    </w:p>
    <w:p w14:paraId="51D7BAD4" w14:textId="1A1F6D02" w:rsidR="0029449D" w:rsidRPr="00860339" w:rsidRDefault="00164388" w:rsidP="00860339">
      <w:pPr>
        <w:pStyle w:val="Odstavecseseznamem"/>
        <w:numPr>
          <w:ilvl w:val="0"/>
          <w:numId w:val="2"/>
        </w:numPr>
        <w:spacing w:after="60"/>
        <w:jc w:val="both"/>
        <w:rPr>
          <w:rFonts w:eastAsia="Calibri"/>
        </w:rPr>
      </w:pPr>
      <w:r>
        <w:rPr>
          <w:rFonts w:eastAsia="Calibri"/>
          <w:sz w:val="22"/>
          <w:szCs w:val="22"/>
        </w:rPr>
        <w:t>Zhotovitel</w:t>
      </w:r>
      <w:r w:rsidRPr="00860339">
        <w:rPr>
          <w:rFonts w:eastAsia="Calibri"/>
          <w:sz w:val="22"/>
          <w:szCs w:val="22"/>
        </w:rPr>
        <w:t xml:space="preserve"> doloží technické listy a původ hlavních technologických komponent (FV panely, střídače, bateriová úložiště, monitorovací a řídicí systémy, elektroměry, komunikační prvky).</w:t>
      </w:r>
    </w:p>
    <w:p w14:paraId="05392F72" w14:textId="42A5AB7C" w:rsidR="00C01196" w:rsidRPr="007E71BF" w:rsidRDefault="00960F76" w:rsidP="00860339">
      <w:pPr>
        <w:pStyle w:val="Nadpis1"/>
        <w:spacing w:before="320" w:after="160"/>
        <w:jc w:val="both"/>
      </w:pPr>
      <w:r>
        <w:rPr>
          <w:rFonts w:eastAsia="Calibri"/>
          <w:b/>
          <w:bCs/>
          <w:sz w:val="26"/>
          <w:szCs w:val="26"/>
        </w:rPr>
        <w:t>6</w:t>
      </w:r>
      <w:r w:rsidRPr="00860339">
        <w:rPr>
          <w:rFonts w:eastAsia="Calibri"/>
          <w:b/>
          <w:bCs/>
          <w:sz w:val="26"/>
          <w:szCs w:val="26"/>
        </w:rPr>
        <w:t>. Vztah k ostatním dokumentům</w:t>
      </w:r>
    </w:p>
    <w:p w14:paraId="7DDDCFAC" w14:textId="68B09201" w:rsidR="00C01196" w:rsidRPr="00860339" w:rsidRDefault="00322A97" w:rsidP="00860339">
      <w:pPr>
        <w:spacing w:after="120"/>
        <w:jc w:val="both"/>
        <w:rPr>
          <w:rFonts w:eastAsia="Calibri"/>
          <w:sz w:val="22"/>
          <w:szCs w:val="22"/>
        </w:rPr>
      </w:pPr>
      <w:r w:rsidRPr="00860339">
        <w:rPr>
          <w:rFonts w:eastAsia="Calibri"/>
          <w:sz w:val="22"/>
          <w:szCs w:val="22"/>
        </w:rPr>
        <w:t>Technické podmínky, specifikace a technické</w:t>
      </w:r>
      <w:r w:rsidR="00576EB7" w:rsidRPr="00860339">
        <w:rPr>
          <w:rFonts w:eastAsia="Calibri"/>
          <w:sz w:val="22"/>
          <w:szCs w:val="22"/>
        </w:rPr>
        <w:t>/</w:t>
      </w:r>
      <w:r w:rsidRPr="00860339">
        <w:rPr>
          <w:rFonts w:eastAsia="Calibri"/>
          <w:sz w:val="22"/>
          <w:szCs w:val="22"/>
        </w:rPr>
        <w:t>uživatelské standardy neuvedené v této Technické specifikaci jsou stanoveny v projektové dokumentaci, která tvoří přílohu č. 1 Smlouvy o dílo</w:t>
      </w:r>
      <w:r w:rsidR="004E689F" w:rsidRPr="00860339">
        <w:rPr>
          <w:rFonts w:eastAsia="Calibri"/>
          <w:sz w:val="22"/>
          <w:szCs w:val="22"/>
        </w:rPr>
        <w:t>. Zhotovitel</w:t>
      </w:r>
      <w:r w:rsidRPr="00860339">
        <w:rPr>
          <w:rFonts w:eastAsia="Calibri"/>
          <w:sz w:val="22"/>
          <w:szCs w:val="22"/>
        </w:rPr>
        <w:t xml:space="preserve"> je povinen respektovat veškeré zde uvedené technické parametry s výjimkou odkazů na určité dodavatele, výrobky, patenty, užitné či průmyslové vzory, ochranné známky nebo označení původu. </w:t>
      </w:r>
      <w:r w:rsidR="00960F76" w:rsidRPr="00860339">
        <w:rPr>
          <w:bCs/>
          <w:color w:val="000000" w:themeColor="text1"/>
          <w:kern w:val="32"/>
          <w:sz w:val="22"/>
          <w:szCs w:val="22"/>
        </w:rPr>
        <w:t xml:space="preserve">V případě rozporu mezi Technickou specifikací a projektovou dokumentací má přednost požadavek zajišťující vyšší kvalitativní, bezpečnostní nebo funkční standard, není-li ve Smlouvě výslovně uvedeno jinak, přičemž co je případný vyšší kvalitativní, bezpečností nebo funkční standard posoudí technický dozor investora (TDI). </w:t>
      </w:r>
      <w:r w:rsidRPr="00860339">
        <w:rPr>
          <w:rFonts w:eastAsia="Calibri"/>
          <w:sz w:val="22"/>
          <w:szCs w:val="22"/>
        </w:rPr>
        <w:t xml:space="preserve">Celkový soulad díla je dále určen obecně závaznými předpisy, platnými českými a evropskými technickými normami a podmínkami </w:t>
      </w:r>
      <w:r w:rsidR="00960F76" w:rsidRPr="00960F76">
        <w:rPr>
          <w:sz w:val="22"/>
          <w:szCs w:val="22"/>
        </w:rPr>
        <w:t>dotační výzvy Modernizačního fondu – RES+ č. 4/2025.</w:t>
      </w:r>
    </w:p>
    <w:p w14:paraId="1B919B8E" w14:textId="77777777" w:rsidR="00F647D0" w:rsidRPr="00860339" w:rsidRDefault="00F647D0" w:rsidP="00860339"/>
    <w:p w14:paraId="426F8D2E" w14:textId="77777777" w:rsidR="00F647D0" w:rsidRPr="00F647D0" w:rsidRDefault="00F647D0" w:rsidP="00860339"/>
    <w:sectPr w:rsidR="00F647D0" w:rsidRPr="00F647D0" w:rsidSect="00860339">
      <w:headerReference w:type="default" r:id="rId8"/>
      <w:footerReference w:type="default" r:id="rId9"/>
      <w:pgSz w:w="11906" w:h="16838"/>
      <w:pgMar w:top="1134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A9F9" w14:textId="77777777" w:rsidR="00322A97" w:rsidRDefault="00322A97" w:rsidP="004617B9">
      <w:r>
        <w:separator/>
      </w:r>
    </w:p>
  </w:endnote>
  <w:endnote w:type="continuationSeparator" w:id="0">
    <w:p w14:paraId="4267A48C" w14:textId="77777777" w:rsidR="00322A97" w:rsidRDefault="00322A97" w:rsidP="0046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BA2A" w14:textId="62CC623E" w:rsidR="004617B9" w:rsidRPr="007435CE" w:rsidRDefault="004617B9" w:rsidP="004617B9">
    <w:pPr>
      <w:pStyle w:val="Zpat"/>
      <w:tabs>
        <w:tab w:val="left" w:pos="993"/>
      </w:tabs>
      <w:rPr>
        <w:rFonts w:asciiTheme="minorHAnsi" w:hAnsiTheme="minorHAnsi" w:cstheme="minorHAnsi"/>
        <w:color w:val="808080" w:themeColor="background1" w:themeShade="80"/>
      </w:rPr>
    </w:pPr>
    <w:r w:rsidRPr="007435CE">
      <w:rPr>
        <w:rFonts w:asciiTheme="minorHAnsi" w:hAnsiTheme="minorHAnsi" w:cstheme="minorHAnsi"/>
        <w:noProof/>
        <w:color w:val="808080" w:themeColor="background1" w:themeShade="80"/>
        <w:sz w:val="14"/>
        <w:szCs w:val="14"/>
      </w:rPr>
      <w:drawing>
        <wp:anchor distT="0" distB="0" distL="114300" distR="114300" simplePos="0" relativeHeight="251661312" behindDoc="0" locked="0" layoutInCell="1" allowOverlap="1" wp14:anchorId="01F463DE" wp14:editId="517B1304">
          <wp:simplePos x="0" y="0"/>
          <wp:positionH relativeFrom="margin">
            <wp:align>right</wp:align>
          </wp:positionH>
          <wp:positionV relativeFrom="paragraph">
            <wp:posOffset>6377</wp:posOffset>
          </wp:positionV>
          <wp:extent cx="1485900" cy="371475"/>
          <wp:effectExtent l="0" t="0" r="0" b="9525"/>
          <wp:wrapSquare wrapText="bothSides"/>
          <wp:docPr id="267288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35CE">
      <w:rPr>
        <w:rFonts w:asciiTheme="minorHAnsi" w:hAnsiTheme="minorHAnsi" w:cstheme="minorHAnsi"/>
        <w:color w:val="808080" w:themeColor="background1" w:themeShade="80"/>
      </w:rPr>
      <w:t xml:space="preserve">Příloha č. </w:t>
    </w:r>
    <w:r>
      <w:rPr>
        <w:rFonts w:asciiTheme="minorHAnsi" w:hAnsiTheme="minorHAnsi" w:cstheme="minorHAnsi"/>
        <w:color w:val="808080" w:themeColor="background1" w:themeShade="80"/>
      </w:rPr>
      <w:t>2</w:t>
    </w:r>
    <w:r w:rsidRPr="007435CE">
      <w:rPr>
        <w:rFonts w:asciiTheme="minorHAnsi" w:hAnsiTheme="minorHAnsi" w:cstheme="minorHAnsi"/>
        <w:color w:val="808080" w:themeColor="background1" w:themeShade="80"/>
      </w:rPr>
      <w:t xml:space="preserve"> Smlouvy o </w:t>
    </w:r>
    <w:r>
      <w:rPr>
        <w:rFonts w:asciiTheme="minorHAnsi" w:hAnsiTheme="minorHAnsi" w:cstheme="minorHAnsi"/>
        <w:color w:val="808080" w:themeColor="background1" w:themeShade="80"/>
      </w:rPr>
      <w:t xml:space="preserve">dílo </w:t>
    </w:r>
    <w:r w:rsidRPr="007435CE">
      <w:rPr>
        <w:rFonts w:asciiTheme="minorHAnsi" w:hAnsiTheme="minorHAnsi" w:cstheme="minorHAnsi"/>
        <w:color w:val="808080" w:themeColor="background1" w:themeShade="80"/>
      </w:rPr>
      <w:t xml:space="preserve">č. </w:t>
    </w:r>
    <w:proofErr w:type="spellStart"/>
    <w:r w:rsidRPr="00860339">
      <w:rPr>
        <w:rFonts w:asciiTheme="minorHAnsi" w:hAnsiTheme="minorHAnsi" w:cstheme="minorHAnsi"/>
        <w:color w:val="808080" w:themeColor="background1" w:themeShade="80"/>
        <w:highlight w:val="yellow"/>
      </w:rPr>
      <w:t>xxx</w:t>
    </w:r>
    <w:proofErr w:type="spellEnd"/>
  </w:p>
  <w:p w14:paraId="3968BBAB" w14:textId="77777777" w:rsidR="004617B9" w:rsidRDefault="004617B9" w:rsidP="004617B9">
    <w:pPr>
      <w:pStyle w:val="Zpat"/>
    </w:pPr>
  </w:p>
  <w:p w14:paraId="21DE78F9" w14:textId="77777777" w:rsidR="004617B9" w:rsidRDefault="004617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4C57" w14:textId="77777777" w:rsidR="00322A97" w:rsidRDefault="00322A97" w:rsidP="004617B9">
      <w:r>
        <w:separator/>
      </w:r>
    </w:p>
  </w:footnote>
  <w:footnote w:type="continuationSeparator" w:id="0">
    <w:p w14:paraId="1351F22E" w14:textId="77777777" w:rsidR="00322A97" w:rsidRDefault="00322A97" w:rsidP="00461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D4F" w14:textId="77777777" w:rsidR="004617B9" w:rsidRPr="00076F86" w:rsidRDefault="004617B9" w:rsidP="004617B9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</w:rPr>
    </w:pPr>
    <w:r w:rsidRPr="00FB6A12">
      <w:rPr>
        <w:rFonts w:cs="Arial"/>
        <w:noProof/>
        <w:color w:val="003C69"/>
      </w:rPr>
      <w:drawing>
        <wp:anchor distT="0" distB="0" distL="114300" distR="114300" simplePos="0" relativeHeight="251659264" behindDoc="1" locked="0" layoutInCell="1" allowOverlap="1" wp14:anchorId="1110EEDC" wp14:editId="51A82E22">
          <wp:simplePos x="0" y="0"/>
          <wp:positionH relativeFrom="margin">
            <wp:align>left</wp:align>
          </wp:positionH>
          <wp:positionV relativeFrom="margin">
            <wp:posOffset>-579120</wp:posOffset>
          </wp:positionV>
          <wp:extent cx="403200" cy="459342"/>
          <wp:effectExtent l="0" t="0" r="0" b="0"/>
          <wp:wrapTight wrapText="bothSides">
            <wp:wrapPolygon edited="0">
              <wp:start x="0" y="0"/>
              <wp:lineTo x="0" y="17029"/>
              <wp:lineTo x="4088" y="20614"/>
              <wp:lineTo x="16353" y="20614"/>
              <wp:lineTo x="20442" y="17029"/>
              <wp:lineTo x="20442" y="0"/>
              <wp:lineTo x="0" y="0"/>
            </wp:wrapPolygon>
          </wp:wrapTight>
          <wp:docPr id="299450951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" cy="459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003C69"/>
      </w:rPr>
      <w:t xml:space="preserve"> </w:t>
    </w:r>
    <w:r w:rsidRPr="00076F86">
      <w:rPr>
        <w:rFonts w:ascii="Arial" w:hAnsi="Arial" w:cs="Arial"/>
        <w:noProof/>
        <w:color w:val="003C69"/>
      </w:rPr>
      <w:t>Statutární</w:t>
    </w:r>
    <w:r w:rsidRPr="00076F86">
      <w:rPr>
        <w:rFonts w:ascii="Arial" w:hAnsi="Arial" w:cs="Arial"/>
      </w:rPr>
      <w:t xml:space="preserve"> </w:t>
    </w:r>
    <w:r w:rsidRPr="00076F86">
      <w:rPr>
        <w:rFonts w:ascii="Arial" w:hAnsi="Arial" w:cs="Arial"/>
        <w:noProof/>
        <w:color w:val="003C69"/>
      </w:rPr>
      <w:t>město Ostrava</w:t>
    </w:r>
  </w:p>
  <w:p w14:paraId="7530CC58" w14:textId="77777777" w:rsidR="004617B9" w:rsidRPr="00076F86" w:rsidRDefault="004617B9" w:rsidP="004617B9">
    <w:pPr>
      <w:adjustRightInd w:val="0"/>
      <w:rPr>
        <w:rFonts w:ascii="Arial" w:hAnsi="Arial" w:cs="Arial"/>
        <w:b/>
        <w:bCs/>
        <w:color w:val="00365F"/>
      </w:rPr>
    </w:pPr>
    <w:r w:rsidRPr="00076F86">
      <w:rPr>
        <w:rFonts w:ascii="Arial" w:hAnsi="Arial" w:cs="Arial"/>
        <w:b/>
        <w:bCs/>
        <w:color w:val="00365F"/>
      </w:rPr>
      <w:t xml:space="preserve"> městský obvod Slezská Ostrava</w:t>
    </w:r>
  </w:p>
  <w:p w14:paraId="6C1C3457" w14:textId="77777777" w:rsidR="004617B9" w:rsidRPr="00A56F55" w:rsidRDefault="004617B9" w:rsidP="004617B9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</w:rPr>
    </w:pPr>
    <w:r w:rsidRPr="00076F86">
      <w:rPr>
        <w:rFonts w:ascii="Arial" w:hAnsi="Arial" w:cs="Arial"/>
        <w:b/>
        <w:color w:val="004080"/>
      </w:rPr>
      <w:t xml:space="preserve"> úřad městského obvodu</w:t>
    </w:r>
  </w:p>
  <w:p w14:paraId="1A5AC9B2" w14:textId="77777777" w:rsidR="004617B9" w:rsidRDefault="004617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4A319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4B3AD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82B7E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E9792E"/>
    <w:multiLevelType w:val="hybridMultilevel"/>
    <w:tmpl w:val="40264B96"/>
    <w:lvl w:ilvl="0" w:tplc="4E2EAC30">
      <w:start w:val="3"/>
      <w:numFmt w:val="decimal"/>
      <w:lvlText w:val="%1"/>
      <w:lvlJc w:val="left"/>
      <w:pPr>
        <w:ind w:left="1069" w:hanging="360"/>
      </w:pPr>
      <w:rPr>
        <w:rFonts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9F594A"/>
    <w:multiLevelType w:val="hybridMultilevel"/>
    <w:tmpl w:val="428A079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15573"/>
    <w:multiLevelType w:val="hybridMultilevel"/>
    <w:tmpl w:val="96247DEA"/>
    <w:lvl w:ilvl="0" w:tplc="44FE1122">
      <w:start w:val="1"/>
      <w:numFmt w:val="lowerLetter"/>
      <w:lvlText w:val="%1)"/>
      <w:lvlJc w:val="left"/>
      <w:pPr>
        <w:ind w:left="1943" w:hanging="360"/>
      </w:pPr>
      <w:rPr>
        <w:rFonts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2663" w:hanging="360"/>
      </w:pPr>
    </w:lvl>
    <w:lvl w:ilvl="2" w:tplc="0405001B" w:tentative="1">
      <w:start w:val="1"/>
      <w:numFmt w:val="lowerRoman"/>
      <w:lvlText w:val="%3."/>
      <w:lvlJc w:val="right"/>
      <w:pPr>
        <w:ind w:left="3383" w:hanging="180"/>
      </w:pPr>
    </w:lvl>
    <w:lvl w:ilvl="3" w:tplc="0405000F">
      <w:start w:val="1"/>
      <w:numFmt w:val="decimal"/>
      <w:lvlText w:val="%4."/>
      <w:lvlJc w:val="left"/>
      <w:pPr>
        <w:ind w:left="4103" w:hanging="360"/>
      </w:pPr>
    </w:lvl>
    <w:lvl w:ilvl="4" w:tplc="04050019" w:tentative="1">
      <w:start w:val="1"/>
      <w:numFmt w:val="lowerLetter"/>
      <w:lvlText w:val="%5."/>
      <w:lvlJc w:val="left"/>
      <w:pPr>
        <w:ind w:left="4823" w:hanging="360"/>
      </w:pPr>
    </w:lvl>
    <w:lvl w:ilvl="5" w:tplc="0405001B" w:tentative="1">
      <w:start w:val="1"/>
      <w:numFmt w:val="lowerRoman"/>
      <w:lvlText w:val="%6."/>
      <w:lvlJc w:val="right"/>
      <w:pPr>
        <w:ind w:left="5543" w:hanging="180"/>
      </w:pPr>
    </w:lvl>
    <w:lvl w:ilvl="6" w:tplc="0405000F" w:tentative="1">
      <w:start w:val="1"/>
      <w:numFmt w:val="decimal"/>
      <w:lvlText w:val="%7."/>
      <w:lvlJc w:val="left"/>
      <w:pPr>
        <w:ind w:left="6263" w:hanging="360"/>
      </w:pPr>
    </w:lvl>
    <w:lvl w:ilvl="7" w:tplc="04050019" w:tentative="1">
      <w:start w:val="1"/>
      <w:numFmt w:val="lowerLetter"/>
      <w:lvlText w:val="%8."/>
      <w:lvlJc w:val="left"/>
      <w:pPr>
        <w:ind w:left="6983" w:hanging="360"/>
      </w:pPr>
    </w:lvl>
    <w:lvl w:ilvl="8" w:tplc="0405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6" w15:restartNumberingAfterBreak="0">
    <w:nsid w:val="2D640F69"/>
    <w:multiLevelType w:val="hybridMultilevel"/>
    <w:tmpl w:val="AAF05C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044BA"/>
    <w:multiLevelType w:val="hybridMultilevel"/>
    <w:tmpl w:val="B84CAB24"/>
    <w:lvl w:ilvl="0" w:tplc="0405001B">
      <w:start w:val="1"/>
      <w:numFmt w:val="lowerRoman"/>
      <w:lvlText w:val="%1."/>
      <w:lvlJc w:val="right"/>
      <w:pPr>
        <w:ind w:left="3023" w:hanging="180"/>
      </w:pPr>
    </w:lvl>
    <w:lvl w:ilvl="1" w:tplc="04050019" w:tentative="1">
      <w:start w:val="1"/>
      <w:numFmt w:val="lowerLetter"/>
      <w:lvlText w:val="%2."/>
      <w:lvlJc w:val="left"/>
      <w:pPr>
        <w:ind w:left="1943" w:hanging="360"/>
      </w:pPr>
    </w:lvl>
    <w:lvl w:ilvl="2" w:tplc="0405001B" w:tentative="1">
      <w:start w:val="1"/>
      <w:numFmt w:val="lowerRoman"/>
      <w:lvlText w:val="%3."/>
      <w:lvlJc w:val="right"/>
      <w:pPr>
        <w:ind w:left="2663" w:hanging="180"/>
      </w:pPr>
    </w:lvl>
    <w:lvl w:ilvl="3" w:tplc="0405000F" w:tentative="1">
      <w:start w:val="1"/>
      <w:numFmt w:val="decimal"/>
      <w:lvlText w:val="%4."/>
      <w:lvlJc w:val="left"/>
      <w:pPr>
        <w:ind w:left="3383" w:hanging="360"/>
      </w:pPr>
    </w:lvl>
    <w:lvl w:ilvl="4" w:tplc="04050019" w:tentative="1">
      <w:start w:val="1"/>
      <w:numFmt w:val="lowerLetter"/>
      <w:lvlText w:val="%5."/>
      <w:lvlJc w:val="left"/>
      <w:pPr>
        <w:ind w:left="4103" w:hanging="360"/>
      </w:pPr>
    </w:lvl>
    <w:lvl w:ilvl="5" w:tplc="0405001B" w:tentative="1">
      <w:start w:val="1"/>
      <w:numFmt w:val="lowerRoman"/>
      <w:lvlText w:val="%6."/>
      <w:lvlJc w:val="right"/>
      <w:pPr>
        <w:ind w:left="4823" w:hanging="180"/>
      </w:pPr>
    </w:lvl>
    <w:lvl w:ilvl="6" w:tplc="0405000F" w:tentative="1">
      <w:start w:val="1"/>
      <w:numFmt w:val="decimal"/>
      <w:lvlText w:val="%7."/>
      <w:lvlJc w:val="left"/>
      <w:pPr>
        <w:ind w:left="5543" w:hanging="360"/>
      </w:pPr>
    </w:lvl>
    <w:lvl w:ilvl="7" w:tplc="04050019" w:tentative="1">
      <w:start w:val="1"/>
      <w:numFmt w:val="lowerLetter"/>
      <w:lvlText w:val="%8."/>
      <w:lvlJc w:val="left"/>
      <w:pPr>
        <w:ind w:left="6263" w:hanging="360"/>
      </w:pPr>
    </w:lvl>
    <w:lvl w:ilvl="8" w:tplc="0405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8" w15:restartNumberingAfterBreak="0">
    <w:nsid w:val="591E2095"/>
    <w:multiLevelType w:val="hybridMultilevel"/>
    <w:tmpl w:val="60B20E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100F3"/>
    <w:multiLevelType w:val="hybridMultilevel"/>
    <w:tmpl w:val="475E695A"/>
    <w:lvl w:ilvl="0" w:tplc="11C4F806">
      <w:start w:val="1"/>
      <w:numFmt w:val="lowerLetter"/>
      <w:lvlText w:val="%1."/>
      <w:lvlJc w:val="left"/>
      <w:pPr>
        <w:ind w:left="1583" w:hanging="360"/>
      </w:pPr>
      <w:rPr>
        <w:rFonts w:ascii="Segoe UI" w:eastAsia="Segoe UI" w:hAnsi="Segoe UI" w:cs="Segoe UI" w:hint="default"/>
        <w:b w:val="0"/>
        <w:bCs w:val="0"/>
        <w:i w:val="0"/>
        <w:iCs w:val="0"/>
        <w:color w:val="404040"/>
        <w:spacing w:val="-1"/>
        <w:w w:val="99"/>
        <w:sz w:val="20"/>
        <w:szCs w:val="20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D7CE5"/>
    <w:multiLevelType w:val="hybridMultilevel"/>
    <w:tmpl w:val="6AF486D8"/>
    <w:lvl w:ilvl="0" w:tplc="7D245936">
      <w:start w:val="1"/>
      <w:numFmt w:val="bullet"/>
      <w:lvlText w:val="•"/>
      <w:lvlJc w:val="left"/>
      <w:pPr>
        <w:ind w:left="420" w:hanging="260"/>
      </w:pPr>
    </w:lvl>
    <w:lvl w:ilvl="1" w:tplc="058AC142">
      <w:start w:val="1"/>
      <w:numFmt w:val="bullet"/>
      <w:lvlText w:val="◦"/>
      <w:lvlJc w:val="left"/>
      <w:pPr>
        <w:ind w:left="840" w:hanging="260"/>
      </w:pPr>
    </w:lvl>
    <w:lvl w:ilvl="2" w:tplc="9ED60B96">
      <w:numFmt w:val="decimal"/>
      <w:lvlText w:val=""/>
      <w:lvlJc w:val="left"/>
    </w:lvl>
    <w:lvl w:ilvl="3" w:tplc="D7E037EC">
      <w:numFmt w:val="decimal"/>
      <w:lvlText w:val=""/>
      <w:lvlJc w:val="left"/>
    </w:lvl>
    <w:lvl w:ilvl="4" w:tplc="EB90AB24">
      <w:numFmt w:val="decimal"/>
      <w:lvlText w:val=""/>
      <w:lvlJc w:val="left"/>
    </w:lvl>
    <w:lvl w:ilvl="5" w:tplc="2238074E">
      <w:numFmt w:val="decimal"/>
      <w:lvlText w:val=""/>
      <w:lvlJc w:val="left"/>
    </w:lvl>
    <w:lvl w:ilvl="6" w:tplc="79CCE356">
      <w:numFmt w:val="decimal"/>
      <w:lvlText w:val=""/>
      <w:lvlJc w:val="left"/>
    </w:lvl>
    <w:lvl w:ilvl="7" w:tplc="12021D3C">
      <w:numFmt w:val="decimal"/>
      <w:lvlText w:val=""/>
      <w:lvlJc w:val="left"/>
    </w:lvl>
    <w:lvl w:ilvl="8" w:tplc="DB90BFA8">
      <w:numFmt w:val="decimal"/>
      <w:lvlText w:val=""/>
      <w:lvlJc w:val="left"/>
    </w:lvl>
  </w:abstractNum>
  <w:abstractNum w:abstractNumId="11" w15:restartNumberingAfterBreak="0">
    <w:nsid w:val="69CC0761"/>
    <w:multiLevelType w:val="hybridMultilevel"/>
    <w:tmpl w:val="A8F2C018"/>
    <w:lvl w:ilvl="0" w:tplc="15ACCDF0">
      <w:start w:val="1"/>
      <w:numFmt w:val="decimal"/>
      <w:lvlText w:val="%1."/>
      <w:lvlJc w:val="left"/>
      <w:pPr>
        <w:ind w:left="503" w:hanging="360"/>
      </w:pPr>
      <w:rPr>
        <w:rFonts w:ascii="Segoe UI" w:eastAsia="Segoe UI" w:hAnsi="Segoe UI" w:cs="Segoe UI" w:hint="default"/>
        <w:b/>
        <w:bCs/>
        <w:i w:val="0"/>
        <w:iCs w:val="0"/>
        <w:color w:val="1F4E79"/>
        <w:spacing w:val="-1"/>
        <w:w w:val="100"/>
        <w:sz w:val="28"/>
        <w:szCs w:val="28"/>
        <w:lang w:val="cs-CZ" w:eastAsia="en-US" w:bidi="ar-SA"/>
      </w:rPr>
    </w:lvl>
    <w:lvl w:ilvl="1" w:tplc="F566D83C">
      <w:start w:val="1"/>
      <w:numFmt w:val="decimal"/>
      <w:lvlText w:val="%2)"/>
      <w:lvlJc w:val="left"/>
      <w:pPr>
        <w:ind w:left="863" w:hanging="360"/>
      </w:pPr>
      <w:rPr>
        <w:rFonts w:ascii="Segoe UI" w:eastAsia="Segoe UI" w:hAnsi="Segoe UI" w:cs="Segoe UI" w:hint="default"/>
        <w:b w:val="0"/>
        <w:bCs w:val="0"/>
        <w:i w:val="0"/>
        <w:iCs w:val="0"/>
        <w:color w:val="404040"/>
        <w:spacing w:val="0"/>
        <w:w w:val="99"/>
        <w:sz w:val="20"/>
        <w:szCs w:val="20"/>
        <w:lang w:val="cs-CZ" w:eastAsia="en-US" w:bidi="ar-SA"/>
      </w:rPr>
    </w:lvl>
    <w:lvl w:ilvl="2" w:tplc="11C4F806">
      <w:start w:val="1"/>
      <w:numFmt w:val="lowerLetter"/>
      <w:lvlText w:val="%3."/>
      <w:lvlJc w:val="left"/>
      <w:pPr>
        <w:ind w:left="1583" w:hanging="360"/>
      </w:pPr>
      <w:rPr>
        <w:rFonts w:ascii="Segoe UI" w:eastAsia="Segoe UI" w:hAnsi="Segoe UI" w:cs="Segoe UI" w:hint="default"/>
        <w:b w:val="0"/>
        <w:bCs w:val="0"/>
        <w:i w:val="0"/>
        <w:iCs w:val="0"/>
        <w:color w:val="404040"/>
        <w:spacing w:val="-1"/>
        <w:w w:val="99"/>
        <w:sz w:val="20"/>
        <w:szCs w:val="20"/>
        <w:lang w:val="cs-CZ" w:eastAsia="en-US" w:bidi="ar-SA"/>
      </w:rPr>
    </w:lvl>
    <w:lvl w:ilvl="3" w:tplc="C62AECF6">
      <w:start w:val="1"/>
      <w:numFmt w:val="lowerRoman"/>
      <w:lvlText w:val="%4."/>
      <w:lvlJc w:val="left"/>
      <w:pPr>
        <w:ind w:left="2303" w:hanging="272"/>
      </w:pPr>
      <w:rPr>
        <w:rFonts w:ascii="Segoe UI" w:eastAsia="Segoe UI" w:hAnsi="Segoe UI" w:cs="Segoe UI" w:hint="default"/>
        <w:b w:val="0"/>
        <w:bCs w:val="0"/>
        <w:i w:val="0"/>
        <w:iCs w:val="0"/>
        <w:color w:val="404040"/>
        <w:spacing w:val="-1"/>
        <w:w w:val="99"/>
        <w:sz w:val="20"/>
        <w:szCs w:val="20"/>
        <w:lang w:val="cs-CZ" w:eastAsia="en-US" w:bidi="ar-SA"/>
      </w:rPr>
    </w:lvl>
    <w:lvl w:ilvl="4" w:tplc="27D4635E">
      <w:numFmt w:val="bullet"/>
      <w:lvlText w:val="•"/>
      <w:lvlJc w:val="left"/>
      <w:pPr>
        <w:ind w:left="2300" w:hanging="272"/>
      </w:pPr>
      <w:rPr>
        <w:rFonts w:hint="default"/>
        <w:lang w:val="cs-CZ" w:eastAsia="en-US" w:bidi="ar-SA"/>
      </w:rPr>
    </w:lvl>
    <w:lvl w:ilvl="5" w:tplc="84BA49DA">
      <w:numFmt w:val="bullet"/>
      <w:lvlText w:val="•"/>
      <w:lvlJc w:val="left"/>
      <w:pPr>
        <w:ind w:left="3476" w:hanging="272"/>
      </w:pPr>
      <w:rPr>
        <w:rFonts w:hint="default"/>
        <w:lang w:val="cs-CZ" w:eastAsia="en-US" w:bidi="ar-SA"/>
      </w:rPr>
    </w:lvl>
    <w:lvl w:ilvl="6" w:tplc="9E165F7C">
      <w:numFmt w:val="bullet"/>
      <w:lvlText w:val="•"/>
      <w:lvlJc w:val="left"/>
      <w:pPr>
        <w:ind w:left="4652" w:hanging="272"/>
      </w:pPr>
      <w:rPr>
        <w:rFonts w:hint="default"/>
        <w:lang w:val="cs-CZ" w:eastAsia="en-US" w:bidi="ar-SA"/>
      </w:rPr>
    </w:lvl>
    <w:lvl w:ilvl="7" w:tplc="722A42FC">
      <w:numFmt w:val="bullet"/>
      <w:lvlText w:val="•"/>
      <w:lvlJc w:val="left"/>
      <w:pPr>
        <w:ind w:left="5828" w:hanging="272"/>
      </w:pPr>
      <w:rPr>
        <w:rFonts w:hint="default"/>
        <w:lang w:val="cs-CZ" w:eastAsia="en-US" w:bidi="ar-SA"/>
      </w:rPr>
    </w:lvl>
    <w:lvl w:ilvl="8" w:tplc="1480EA98">
      <w:numFmt w:val="bullet"/>
      <w:lvlText w:val="•"/>
      <w:lvlJc w:val="left"/>
      <w:pPr>
        <w:ind w:left="7004" w:hanging="272"/>
      </w:pPr>
      <w:rPr>
        <w:rFonts w:hint="default"/>
        <w:lang w:val="cs-CZ" w:eastAsia="en-US" w:bidi="ar-SA"/>
      </w:rPr>
    </w:lvl>
  </w:abstractNum>
  <w:abstractNum w:abstractNumId="12" w15:restartNumberingAfterBreak="0">
    <w:nsid w:val="6A020A61"/>
    <w:multiLevelType w:val="hybridMultilevel"/>
    <w:tmpl w:val="D09214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342DE"/>
    <w:multiLevelType w:val="hybridMultilevel"/>
    <w:tmpl w:val="EDC2B652"/>
    <w:lvl w:ilvl="0" w:tplc="129C59AA">
      <w:start w:val="1"/>
      <w:numFmt w:val="bullet"/>
      <w:lvlText w:val="●"/>
      <w:lvlJc w:val="left"/>
      <w:pPr>
        <w:ind w:left="720" w:hanging="360"/>
      </w:pPr>
    </w:lvl>
    <w:lvl w:ilvl="1" w:tplc="2862802C">
      <w:start w:val="1"/>
      <w:numFmt w:val="bullet"/>
      <w:lvlText w:val="○"/>
      <w:lvlJc w:val="left"/>
      <w:pPr>
        <w:ind w:left="1440" w:hanging="360"/>
      </w:pPr>
    </w:lvl>
    <w:lvl w:ilvl="2" w:tplc="B5643950">
      <w:start w:val="1"/>
      <w:numFmt w:val="bullet"/>
      <w:lvlText w:val="■"/>
      <w:lvlJc w:val="left"/>
      <w:pPr>
        <w:ind w:left="2160" w:hanging="360"/>
      </w:pPr>
    </w:lvl>
    <w:lvl w:ilvl="3" w:tplc="44946E9E">
      <w:start w:val="1"/>
      <w:numFmt w:val="bullet"/>
      <w:lvlText w:val="●"/>
      <w:lvlJc w:val="left"/>
      <w:pPr>
        <w:ind w:left="2880" w:hanging="360"/>
      </w:pPr>
    </w:lvl>
    <w:lvl w:ilvl="4" w:tplc="0882BE06">
      <w:start w:val="1"/>
      <w:numFmt w:val="bullet"/>
      <w:lvlText w:val="○"/>
      <w:lvlJc w:val="left"/>
      <w:pPr>
        <w:ind w:left="3600" w:hanging="360"/>
      </w:pPr>
    </w:lvl>
    <w:lvl w:ilvl="5" w:tplc="6CF6A09E">
      <w:start w:val="1"/>
      <w:numFmt w:val="bullet"/>
      <w:lvlText w:val="■"/>
      <w:lvlJc w:val="left"/>
      <w:pPr>
        <w:ind w:left="4320" w:hanging="360"/>
      </w:pPr>
    </w:lvl>
    <w:lvl w:ilvl="6" w:tplc="6340E49C">
      <w:start w:val="1"/>
      <w:numFmt w:val="bullet"/>
      <w:lvlText w:val="●"/>
      <w:lvlJc w:val="left"/>
      <w:pPr>
        <w:ind w:left="5040" w:hanging="360"/>
      </w:pPr>
    </w:lvl>
    <w:lvl w:ilvl="7" w:tplc="BE463DD8">
      <w:start w:val="1"/>
      <w:numFmt w:val="bullet"/>
      <w:lvlText w:val="●"/>
      <w:lvlJc w:val="left"/>
      <w:pPr>
        <w:ind w:left="5760" w:hanging="360"/>
      </w:pPr>
    </w:lvl>
    <w:lvl w:ilvl="8" w:tplc="065A1BC8">
      <w:start w:val="1"/>
      <w:numFmt w:val="bullet"/>
      <w:lvlText w:val="●"/>
      <w:lvlJc w:val="left"/>
      <w:pPr>
        <w:ind w:left="6480" w:hanging="360"/>
      </w:pPr>
    </w:lvl>
  </w:abstractNum>
  <w:num w:numId="1" w16cid:durableId="374083113">
    <w:abstractNumId w:val="13"/>
    <w:lvlOverride w:ilvl="0">
      <w:startOverride w:val="1"/>
    </w:lvlOverride>
  </w:num>
  <w:num w:numId="2" w16cid:durableId="1831022966">
    <w:abstractNumId w:val="10"/>
    <w:lvlOverride w:ilvl="0">
      <w:startOverride w:val="1"/>
    </w:lvlOverride>
  </w:num>
  <w:num w:numId="3" w16cid:durableId="367877341">
    <w:abstractNumId w:val="2"/>
  </w:num>
  <w:num w:numId="4" w16cid:durableId="869301742">
    <w:abstractNumId w:val="12"/>
  </w:num>
  <w:num w:numId="5" w16cid:durableId="1986859640">
    <w:abstractNumId w:val="6"/>
  </w:num>
  <w:num w:numId="6" w16cid:durableId="1316034729">
    <w:abstractNumId w:val="8"/>
  </w:num>
  <w:num w:numId="7" w16cid:durableId="497159742">
    <w:abstractNumId w:val="4"/>
  </w:num>
  <w:num w:numId="8" w16cid:durableId="1801340457">
    <w:abstractNumId w:val="0"/>
  </w:num>
  <w:num w:numId="9" w16cid:durableId="1109393688">
    <w:abstractNumId w:val="1"/>
  </w:num>
  <w:num w:numId="10" w16cid:durableId="539707302">
    <w:abstractNumId w:val="11"/>
  </w:num>
  <w:num w:numId="11" w16cid:durableId="1816071640">
    <w:abstractNumId w:val="7"/>
  </w:num>
  <w:num w:numId="12" w16cid:durableId="482240940">
    <w:abstractNumId w:val="3"/>
  </w:num>
  <w:num w:numId="13" w16cid:durableId="602224023">
    <w:abstractNumId w:val="5"/>
  </w:num>
  <w:num w:numId="14" w16cid:durableId="187526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196"/>
    <w:rsid w:val="00001CCF"/>
    <w:rsid w:val="00023DC2"/>
    <w:rsid w:val="000D3F21"/>
    <w:rsid w:val="000F45CA"/>
    <w:rsid w:val="00116A29"/>
    <w:rsid w:val="001622B0"/>
    <w:rsid w:val="00164388"/>
    <w:rsid w:val="0026328A"/>
    <w:rsid w:val="0029449D"/>
    <w:rsid w:val="002B42E4"/>
    <w:rsid w:val="00322A97"/>
    <w:rsid w:val="0035183F"/>
    <w:rsid w:val="00361BA6"/>
    <w:rsid w:val="00363F00"/>
    <w:rsid w:val="003876C6"/>
    <w:rsid w:val="003A50BA"/>
    <w:rsid w:val="003B23F7"/>
    <w:rsid w:val="003E3E91"/>
    <w:rsid w:val="004617B9"/>
    <w:rsid w:val="004C5A3E"/>
    <w:rsid w:val="004E689F"/>
    <w:rsid w:val="00571FC7"/>
    <w:rsid w:val="00576EB7"/>
    <w:rsid w:val="005C44C2"/>
    <w:rsid w:val="006228C2"/>
    <w:rsid w:val="007E71BF"/>
    <w:rsid w:val="00860339"/>
    <w:rsid w:val="008718A9"/>
    <w:rsid w:val="008A23EB"/>
    <w:rsid w:val="0090310B"/>
    <w:rsid w:val="00960F76"/>
    <w:rsid w:val="009B15E5"/>
    <w:rsid w:val="00A218F0"/>
    <w:rsid w:val="00A2561F"/>
    <w:rsid w:val="00B505D0"/>
    <w:rsid w:val="00C01196"/>
    <w:rsid w:val="00CC3738"/>
    <w:rsid w:val="00E23EA6"/>
    <w:rsid w:val="00E24F8B"/>
    <w:rsid w:val="00E35116"/>
    <w:rsid w:val="00E542A5"/>
    <w:rsid w:val="00E934A3"/>
    <w:rsid w:val="00E96334"/>
    <w:rsid w:val="00ED2958"/>
    <w:rsid w:val="00F04D6B"/>
    <w:rsid w:val="00F23526"/>
    <w:rsid w:val="00F37B07"/>
    <w:rsid w:val="00F54EA2"/>
    <w:rsid w:val="00F6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AD896"/>
  <w15:docId w15:val="{95EB92D0-1413-4EF5-8D82-A142AC4F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uiPriority w:val="1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Revize">
    <w:name w:val="Revision"/>
    <w:hidden/>
    <w:uiPriority w:val="99"/>
    <w:semiHidden/>
    <w:rsid w:val="00F647D0"/>
  </w:style>
  <w:style w:type="paragraph" w:styleId="Bezmezer">
    <w:name w:val="No Spacing"/>
    <w:uiPriority w:val="1"/>
    <w:qFormat/>
    <w:rsid w:val="00F647D0"/>
  </w:style>
  <w:style w:type="paragraph" w:styleId="Zkladntext">
    <w:name w:val="Body Text"/>
    <w:basedOn w:val="Normln"/>
    <w:link w:val="ZkladntextChar"/>
    <w:uiPriority w:val="1"/>
    <w:qFormat/>
    <w:rsid w:val="00F647D0"/>
    <w:pPr>
      <w:widowControl w:val="0"/>
      <w:autoSpaceDE w:val="0"/>
      <w:autoSpaceDN w:val="0"/>
    </w:pPr>
    <w:rPr>
      <w:rFonts w:ascii="Segoe UI" w:eastAsia="Segoe UI" w:hAnsi="Segoe UI" w:cs="Segoe UI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647D0"/>
    <w:rPr>
      <w:rFonts w:ascii="Segoe UI" w:eastAsia="Segoe UI" w:hAnsi="Segoe UI" w:cs="Segoe U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B15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B15E5"/>
  </w:style>
  <w:style w:type="character" w:customStyle="1" w:styleId="TextkomenteChar">
    <w:name w:val="Text komentáře Char"/>
    <w:basedOn w:val="Standardnpsmoodstavce"/>
    <w:link w:val="Textkomente"/>
    <w:uiPriority w:val="99"/>
    <w:rsid w:val="009B15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15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15E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617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17B9"/>
  </w:style>
  <w:style w:type="paragraph" w:styleId="Zpat">
    <w:name w:val="footer"/>
    <w:basedOn w:val="Normln"/>
    <w:link w:val="ZpatChar"/>
    <w:uiPriority w:val="99"/>
    <w:unhideWhenUsed/>
    <w:rsid w:val="004617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1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521D-214A-4B09-92C2-EDCDBBC5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1488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Stankovičová Michaela</cp:lastModifiedBy>
  <cp:revision>52</cp:revision>
  <dcterms:created xsi:type="dcterms:W3CDTF">2026-07-27T13:14:00Z</dcterms:created>
  <dcterms:modified xsi:type="dcterms:W3CDTF">2026-08-28T05:32:00Z</dcterms:modified>
</cp:coreProperties>
</file>