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>
          <w:rFonts w:cs="Calibri"/>
          <w:b/>
          <w:bCs/>
        </w:rPr>
      </w:pPr>
      <w:r>
        <w:rPr>
          <w:rFonts w:cs="Calibri"/>
          <w:b/>
          <w:bCs/>
        </w:rPr>
        <w:t>PRILOHA 1: SUMÁRNY LIST CENOVEJ PONUKY A TECHNICKÉ POŽIADAVKY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131"/>
        <w:gridCol w:w="6075"/>
      </w:tblGrid>
      <w:tr>
        <w:trPr>
          <w:trHeight w:val="411" w:hRule="atLeast"/>
        </w:trPr>
        <w:tc>
          <w:tcPr>
            <w:tcW w:w="4131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shd w:fill="DEEAF6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Obchodné meno uchádzača:</w:t>
            </w:r>
          </w:p>
        </w:tc>
        <w:tc>
          <w:tcPr>
            <w:tcW w:w="6075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>
        <w:trPr>
          <w:trHeight w:val="411" w:hRule="atLeast"/>
        </w:trPr>
        <w:tc>
          <w:tcPr>
            <w:tcW w:w="4131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shd w:fill="DEEAF6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IČO uchádzača:</w:t>
            </w:r>
          </w:p>
        </w:tc>
        <w:tc>
          <w:tcPr>
            <w:tcW w:w="6075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>
        <w:trPr>
          <w:trHeight w:val="580" w:hRule="atLeast"/>
        </w:trPr>
        <w:tc>
          <w:tcPr>
            <w:tcW w:w="4131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shd w:fill="DEEAF6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Meno štatutárneho zástupcu uchádzača, ktorý ponuku podpisuje:</w:t>
            </w:r>
          </w:p>
        </w:tc>
        <w:tc>
          <w:tcPr>
            <w:tcW w:w="6075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>
        <w:trPr>
          <w:trHeight w:val="411" w:hRule="atLeast"/>
        </w:trPr>
        <w:tc>
          <w:tcPr>
            <w:tcW w:w="4131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shd w:fill="DEEAF6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Obstarávateľ:</w:t>
            </w:r>
          </w:p>
        </w:tc>
        <w:tc>
          <w:tcPr>
            <w:tcW w:w="6075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Milan Lazový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IČO: 31094732</w:t>
            </w:r>
          </w:p>
        </w:tc>
      </w:tr>
      <w:tr>
        <w:trPr>
          <w:trHeight w:val="411" w:hRule="atLeast"/>
        </w:trPr>
        <w:tc>
          <w:tcPr>
            <w:tcW w:w="4131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shd w:fill="DEEAF6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Obstarávanie - názov zákazky:</w:t>
            </w:r>
          </w:p>
        </w:tc>
        <w:tc>
          <w:tcPr>
            <w:tcW w:w="6075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Solárny ohrev TUV - termické kolektory</w:t>
            </w:r>
          </w:p>
        </w:tc>
      </w:tr>
    </w:tbl>
    <w:p>
      <w:pPr>
        <w:pStyle w:val="Normal"/>
        <w:spacing w:lineRule="auto" w:line="360" w:before="120" w:after="0"/>
        <w:rPr>
          <w:rFonts w:cs="Calibri"/>
          <w:b/>
        </w:rPr>
      </w:pPr>
      <w:r>
        <w:rPr>
          <w:rFonts w:cs="Calibri"/>
          <w:b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271"/>
        <w:gridCol w:w="7103"/>
        <w:gridCol w:w="1832"/>
      </w:tblGrid>
      <w:tr>
        <w:trPr>
          <w:trHeight w:val="411" w:hRule="atLeast"/>
        </w:trPr>
        <w:tc>
          <w:tcPr>
            <w:tcW w:w="1271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 xml:space="preserve">Položka: </w:t>
            </w:r>
          </w:p>
        </w:tc>
        <w:tc>
          <w:tcPr>
            <w:tcW w:w="8935" w:type="dxa"/>
            <w:gridSpan w:val="2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sk-SK"/>
              </w:rPr>
              <w:t>Solárny ohrev TUV - termické kolektory</w:t>
            </w:r>
          </w:p>
        </w:tc>
      </w:tr>
      <w:tr>
        <w:trPr>
          <w:trHeight w:val="411" w:hRule="atLeast"/>
        </w:trPr>
        <w:tc>
          <w:tcPr>
            <w:tcW w:w="1271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Množstvo:</w:t>
            </w:r>
          </w:p>
        </w:tc>
        <w:tc>
          <w:tcPr>
            <w:tcW w:w="8935" w:type="dxa"/>
            <w:gridSpan w:val="2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sk-SK"/>
              </w:rPr>
              <w:t>1</w:t>
            </w:r>
            <w:r>
              <w:rPr>
                <w:rFonts w:cs="Calibri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lang w:eastAsia="sk-SK"/>
              </w:rPr>
              <w:t>súbor</w:t>
            </w:r>
          </w:p>
        </w:tc>
      </w:tr>
      <w:tr>
        <w:trPr>
          <w:trHeight w:val="750" w:hRule="atLeast"/>
        </w:trPr>
        <w:tc>
          <w:tcPr>
            <w:tcW w:w="8374" w:type="dxa"/>
            <w:gridSpan w:val="2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shd w:fill="DEEAF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Špecifikácia, požadovaný technický parameter / vlastnosť:</w:t>
            </w:r>
          </w:p>
        </w:tc>
        <w:tc>
          <w:tcPr>
            <w:tcW w:w="1832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shd w:fill="DEEAF6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Vyjadrenie uchádzača,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či ponúkaný tovar spĺňa: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sz w:val="20"/>
                <w:szCs w:val="20"/>
              </w:rPr>
              <w:t>ÁNO / NIE</w:t>
            </w:r>
          </w:p>
        </w:tc>
      </w:tr>
      <w:tr>
        <w:trPr>
          <w:trHeight w:val="472" w:hRule="atLeast"/>
        </w:trPr>
        <w:tc>
          <w:tcPr>
            <w:tcW w:w="8374" w:type="dxa"/>
            <w:gridSpan w:val="2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rPr/>
            </w:pPr>
            <w:r>
              <w:rPr/>
              <w:t>ploché solárne kolektory pre ohrev TV výkon spolu 12,44kw (10ks x 1,244kW) vrátane konštrukcie</w:t>
            </w:r>
          </w:p>
        </w:tc>
        <w:tc>
          <w:tcPr>
            <w:tcW w:w="1832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jc w:val="center"/>
              <w:rPr>
                <w:rFonts w:cs="Calibri"/>
              </w:rPr>
            </w:pPr>
            <w:r>
              <w:rPr>
                <w:rFonts w:cs="Calibri"/>
                <w:color w:val="FF0000"/>
              </w:rPr>
              <w:t>/vyplní uchádzač/</w:t>
            </w:r>
          </w:p>
        </w:tc>
      </w:tr>
      <w:tr>
        <w:trPr>
          <w:trHeight w:val="472" w:hRule="atLeast"/>
        </w:trPr>
        <w:tc>
          <w:tcPr>
            <w:tcW w:w="8374" w:type="dxa"/>
            <w:gridSpan w:val="2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rPr/>
            </w:pPr>
            <w:r>
              <w:rPr/>
              <w:t>zásobník TV 500l - 2ks</w:t>
            </w:r>
          </w:p>
        </w:tc>
        <w:tc>
          <w:tcPr>
            <w:tcW w:w="1832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jc w:val="center"/>
              <w:rPr>
                <w:rFonts w:cs="Calibri"/>
              </w:rPr>
            </w:pPr>
            <w:r>
              <w:rPr>
                <w:rFonts w:cs="Calibri"/>
                <w:color w:val="FF0000"/>
              </w:rPr>
              <w:t>/vyplní uchádzač/</w:t>
            </w:r>
          </w:p>
        </w:tc>
      </w:tr>
      <w:tr>
        <w:trPr>
          <w:trHeight w:val="472" w:hRule="atLeast"/>
        </w:trPr>
        <w:tc>
          <w:tcPr>
            <w:tcW w:w="8374" w:type="dxa"/>
            <w:gridSpan w:val="2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rPr/>
            </w:pPr>
            <w:r>
              <w:rPr/>
              <w:t>čerpadlová jednotka solárna s PWM signálom – 2ks</w:t>
            </w:r>
          </w:p>
        </w:tc>
        <w:tc>
          <w:tcPr>
            <w:tcW w:w="1832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jc w:val="center"/>
              <w:rPr>
                <w:rFonts w:cs="Calibri"/>
              </w:rPr>
            </w:pPr>
            <w:r>
              <w:rPr>
                <w:rFonts w:cs="Calibri"/>
                <w:color w:val="FF0000"/>
              </w:rPr>
              <w:t>/vyplní uchádzač/</w:t>
            </w:r>
          </w:p>
        </w:tc>
      </w:tr>
      <w:tr>
        <w:trPr>
          <w:trHeight w:val="472" w:hRule="atLeast"/>
        </w:trPr>
        <w:tc>
          <w:tcPr>
            <w:tcW w:w="8374" w:type="dxa"/>
            <w:gridSpan w:val="2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rPr/>
            </w:pPr>
            <w:r>
              <w:rPr/>
              <w:t>solarny regulátor - 2ks</w:t>
            </w:r>
          </w:p>
        </w:tc>
        <w:tc>
          <w:tcPr>
            <w:tcW w:w="1832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jc w:val="center"/>
              <w:rPr>
                <w:rFonts w:cs="Calibri"/>
              </w:rPr>
            </w:pPr>
            <w:r>
              <w:rPr>
                <w:rFonts w:cs="Calibri"/>
                <w:color w:val="FF0000"/>
              </w:rPr>
              <w:t>/vyplní uchádzač/</w:t>
            </w:r>
          </w:p>
        </w:tc>
      </w:tr>
      <w:tr>
        <w:trPr>
          <w:trHeight w:val="472" w:hRule="atLeast"/>
        </w:trPr>
        <w:tc>
          <w:tcPr>
            <w:tcW w:w="8374" w:type="dxa"/>
            <w:gridSpan w:val="2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rPr/>
            </w:pPr>
            <w:r>
              <w:rPr/>
              <w:t>elektrický záložný dohrev 6kW/400V - 2ks</w:t>
            </w:r>
          </w:p>
        </w:tc>
        <w:tc>
          <w:tcPr>
            <w:tcW w:w="1832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jc w:val="center"/>
              <w:rPr>
                <w:rFonts w:cs="Calibri"/>
                <w:b/>
              </w:rPr>
            </w:pPr>
            <w:r>
              <w:rPr>
                <w:rFonts w:cs="Calibri"/>
                <w:color w:val="FF0000"/>
              </w:rPr>
              <w:t>/vyplní uchádzač/</w:t>
            </w:r>
          </w:p>
        </w:tc>
      </w:tr>
      <w:tr>
        <w:trPr>
          <w:trHeight w:val="472" w:hRule="atLeast"/>
        </w:trPr>
        <w:tc>
          <w:tcPr>
            <w:tcW w:w="8374" w:type="dxa"/>
            <w:gridSpan w:val="2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rPr/>
            </w:pPr>
            <w:r>
              <w:rPr/>
              <w:t>prepojovacie Inox alt. Cu potrubie vrátane izolácie, pripojovací materiál</w:t>
            </w:r>
          </w:p>
        </w:tc>
        <w:tc>
          <w:tcPr>
            <w:tcW w:w="1832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jc w:val="center"/>
              <w:rPr>
                <w:rFonts w:cs="Calibri"/>
              </w:rPr>
            </w:pPr>
            <w:r>
              <w:rPr>
                <w:rFonts w:cs="Calibri"/>
                <w:color w:val="FF0000"/>
              </w:rPr>
              <w:t>/vyplní uchádzač/</w:t>
            </w:r>
          </w:p>
        </w:tc>
      </w:tr>
      <w:tr>
        <w:trPr>
          <w:trHeight w:val="472" w:hRule="atLeast"/>
        </w:trPr>
        <w:tc>
          <w:tcPr>
            <w:tcW w:w="8374" w:type="dxa"/>
            <w:gridSpan w:val="2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rPr/>
            </w:pPr>
            <w:r>
              <w:rPr/>
              <w:t>expanzná nádoba solárna 35l - 2ks</w:t>
            </w:r>
          </w:p>
        </w:tc>
        <w:tc>
          <w:tcPr>
            <w:tcW w:w="1832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jc w:val="center"/>
              <w:rPr>
                <w:rFonts w:cs="Calibri"/>
              </w:rPr>
            </w:pPr>
            <w:r>
              <w:rPr>
                <w:rFonts w:cs="Calibri"/>
                <w:color w:val="FF0000"/>
              </w:rPr>
              <w:t>/vyplní uchádzač/</w:t>
            </w:r>
          </w:p>
        </w:tc>
      </w:tr>
      <w:tr>
        <w:trPr>
          <w:trHeight w:val="472" w:hRule="atLeast"/>
        </w:trPr>
        <w:tc>
          <w:tcPr>
            <w:tcW w:w="8374" w:type="dxa"/>
            <w:gridSpan w:val="2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rPr/>
            </w:pPr>
            <w:r>
              <w:rPr/>
              <w:t>solárna kvapalina nemrznúca</w:t>
            </w:r>
          </w:p>
        </w:tc>
        <w:tc>
          <w:tcPr>
            <w:tcW w:w="1832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jc w:val="center"/>
              <w:rPr>
                <w:rFonts w:cs="Calibri"/>
              </w:rPr>
            </w:pPr>
            <w:r>
              <w:rPr>
                <w:rFonts w:cs="Calibri"/>
                <w:color w:val="FF0000"/>
              </w:rPr>
              <w:t>/vyplní uchádzač/</w:t>
            </w:r>
          </w:p>
        </w:tc>
      </w:tr>
      <w:tr>
        <w:trPr>
          <w:trHeight w:val="472" w:hRule="atLeast"/>
        </w:trPr>
        <w:tc>
          <w:tcPr>
            <w:tcW w:w="8374" w:type="dxa"/>
            <w:gridSpan w:val="2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rPr/>
            </w:pPr>
            <w:r>
              <w:rPr/>
              <w:t>montáž, uvedenie do prevádzky</w:t>
            </w:r>
          </w:p>
        </w:tc>
        <w:tc>
          <w:tcPr>
            <w:tcW w:w="1832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80" w:after="80"/>
              <w:contextualSpacing/>
              <w:jc w:val="center"/>
              <w:rPr>
                <w:rFonts w:cs="Calibri"/>
              </w:rPr>
            </w:pPr>
            <w:r>
              <w:rPr>
                <w:rFonts w:cs="Calibri"/>
                <w:color w:val="FF0000"/>
              </w:rPr>
              <w:t>/vyplní uchádzač/</w:t>
            </w:r>
          </w:p>
        </w:tc>
      </w:tr>
    </w:tbl>
    <w:p>
      <w:pPr>
        <w:pStyle w:val="Normal"/>
        <w:spacing w:lineRule="auto" w:line="360" w:before="120" w:after="0"/>
        <w:rPr>
          <w:b/>
        </w:rPr>
      </w:pPr>
      <w:r>
        <w:rPr/>
        <w:t>Cenová ponuka: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415"/>
        <w:gridCol w:w="1713"/>
        <w:gridCol w:w="3078"/>
      </w:tblGrid>
      <w:tr>
        <w:trPr>
          <w:trHeight w:val="567" w:hRule="atLeast"/>
        </w:trPr>
        <w:tc>
          <w:tcPr>
            <w:tcW w:w="5415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shd w:fill="DBE5F1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Položka:</w:t>
            </w:r>
          </w:p>
        </w:tc>
        <w:tc>
          <w:tcPr>
            <w:tcW w:w="1713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shd w:fill="DBE5F1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Množstvo:</w:t>
            </w:r>
          </w:p>
        </w:tc>
        <w:tc>
          <w:tcPr>
            <w:tcW w:w="3078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shd w:fill="DBE5F1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v EUR bez DPH:</w:t>
            </w:r>
          </w:p>
        </w:tc>
      </w:tr>
      <w:tr>
        <w:trPr>
          <w:trHeight w:val="907" w:hRule="atLeast"/>
        </w:trPr>
        <w:tc>
          <w:tcPr>
            <w:tcW w:w="5415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color w:val="000000"/>
                <w:lang w:eastAsia="sk-SK"/>
              </w:rPr>
              <w:t>Solárny ohrev TUV - termické kolektory</w:t>
            </w:r>
          </w:p>
        </w:tc>
        <w:tc>
          <w:tcPr>
            <w:tcW w:w="1713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Tahoma"/>
              </w:rPr>
            </w:pPr>
            <w:r>
              <w:rPr>
                <w:color w:val="000000"/>
              </w:rPr>
              <w:t>1</w:t>
            </w:r>
            <w:r>
              <w:rPr>
                <w:rFonts w:cs="Tahoma"/>
                <w:color w:val="000000"/>
              </w:rPr>
              <w:t xml:space="preserve"> </w:t>
            </w:r>
            <w:r>
              <w:rPr>
                <w:rFonts w:cs="Tahoma"/>
                <w:color w:val="000000"/>
              </w:rPr>
              <w:t>súbor</w:t>
            </w:r>
          </w:p>
        </w:tc>
        <w:tc>
          <w:tcPr>
            <w:tcW w:w="3078" w:type="dxa"/>
            <w:tcBorders>
              <w:top w:val="single" w:sz="4" w:space="0" w:color="1F497D"/>
              <w:start w:val="single" w:sz="4" w:space="0" w:color="1F497D"/>
              <w:bottom w:val="single" w:sz="4" w:space="0" w:color="1F497D"/>
              <w:end w:val="single" w:sz="4" w:space="0" w:color="1F497D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>
                <w:rFonts w:cs="Tahoma"/>
                <w:color w:val="FF0000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</w:tbl>
    <w:p>
      <w:pPr>
        <w:pStyle w:val="Normal"/>
        <w:spacing w:lineRule="auto" w:line="360" w:before="120" w:after="0"/>
        <w:rPr/>
      </w:pPr>
      <w:r>
        <w:rPr>
          <w:b/>
        </w:rPr>
        <w:t>Uchádzač je platiteľ DPH: ÁNO</w:t>
      </w:r>
      <w:r>
        <w:rPr/>
        <w:t xml:space="preserve"> - </w:t>
      </w:r>
      <w:r>
        <w:rPr>
          <w:b/>
        </w:rPr>
        <w:t>NIE</w:t>
      </w:r>
      <w:r>
        <w:rPr/>
        <w:t xml:space="preserve"> </w:t>
      </w:r>
      <w:r>
        <w:rPr>
          <w:color w:val="FF0000"/>
        </w:rPr>
        <w:t>(nehodiace sa prečiarknuť)</w:t>
      </w:r>
    </w:p>
    <w:p>
      <w:pPr>
        <w:pStyle w:val="Normal"/>
        <w:spacing w:lineRule="auto" w:line="360" w:before="0" w:after="0"/>
        <w:rPr>
          <w:rFonts w:cs="Tahoma"/>
          <w:bCs/>
        </w:rPr>
      </w:pPr>
      <w:r>
        <w:rPr>
          <w:rFonts w:cs="Tahoma"/>
          <w:bCs/>
        </w:rPr>
      </w:r>
    </w:p>
    <w:p>
      <w:pPr>
        <w:pStyle w:val="Normal"/>
        <w:spacing w:lineRule="auto" w:line="360" w:before="0" w:after="0"/>
        <w:rPr>
          <w:rFonts w:cs="Tahoma"/>
          <w:color w:val="FF0000"/>
        </w:rPr>
      </w:pPr>
      <w:r>
        <w:rPr>
          <w:rFonts w:cs="Tahoma"/>
          <w:bCs/>
        </w:rPr>
        <w:t xml:space="preserve">Dátum vyhotovenia ponuky: </w:t>
      </w:r>
      <w:r>
        <w:rPr>
          <w:rFonts w:cs="Tahoma"/>
          <w:color w:val="FF0000"/>
        </w:rPr>
        <w:t>/vyplní uchádzač/</w:t>
      </w:r>
    </w:p>
    <w:p>
      <w:pPr>
        <w:pStyle w:val="Normal"/>
        <w:spacing w:lineRule="auto" w:line="360" w:before="0" w:after="0"/>
        <w:ind w:start="5812" w:end="0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</w:t>
      </w:r>
    </w:p>
    <w:p>
      <w:pPr>
        <w:pStyle w:val="Normal"/>
        <w:spacing w:lineRule="auto" w:line="360" w:before="0" w:after="0"/>
        <w:ind w:start="5812" w:end="0"/>
        <w:rPr>
          <w:sz w:val="18"/>
          <w:szCs w:val="18"/>
        </w:rPr>
      </w:pPr>
      <w:r>
        <w:rPr>
          <w:sz w:val="18"/>
          <w:szCs w:val="18"/>
        </w:rPr>
        <w:t>pečiatka a podpis štatutárneho zástupcu</w:t>
      </w:r>
    </w:p>
    <w:sectPr>
      <w:type w:val="nextPage"/>
      <w:pgSz w:w="11906" w:h="16838"/>
      <w:pgMar w:left="993" w:right="707" w:gutter="0" w:header="0" w:top="709" w:footer="0" w:bottom="156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ee" w:characterSet="windows-1250"/>
    <w:family w:val="swiss"/>
    <w:pitch w:val="variable"/>
  </w:font>
  <w:font w:name="Century Gothic"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isLgl/>
      <w:lvlText w:val="%1.%2"/>
      <w:lvlJc w:val="start"/>
      <w:pPr>
        <w:tabs>
          <w:tab w:val="num" w:pos="0"/>
        </w:tabs>
        <w:ind w:start="644" w:hanging="360"/>
      </w:pPr>
      <w:rPr/>
    </w:lvl>
    <w:lvl w:ilvl="2">
      <w:start w:val="1"/>
      <w:numFmt w:val="decimal"/>
      <w:isLgl/>
      <w:lvlText w:val="%1.%2.%3"/>
      <w:lvlJc w:val="start"/>
      <w:pPr>
        <w:tabs>
          <w:tab w:val="num" w:pos="0"/>
        </w:tabs>
        <w:ind w:start="1080" w:hanging="720"/>
      </w:pPr>
      <w:rPr/>
    </w:lvl>
    <w:lvl w:ilvl="3">
      <w:start w:val="1"/>
      <w:numFmt w:val="decimal"/>
      <w:isLgl/>
      <w:lvlText w:val="%1.%2.%3.%4"/>
      <w:lvlJc w:val="start"/>
      <w:pPr>
        <w:tabs>
          <w:tab w:val="num" w:pos="0"/>
        </w:tabs>
        <w:ind w:start="1080" w:hanging="720"/>
      </w:pPr>
      <w:rPr/>
    </w:lvl>
    <w:lvl w:ilvl="4">
      <w:start w:val="1"/>
      <w:numFmt w:val="decimal"/>
      <w:isLgl/>
      <w:lvlText w:val="%1.%2.%3.%4.%5"/>
      <w:lvlJc w:val="start"/>
      <w:pPr>
        <w:tabs>
          <w:tab w:val="num" w:pos="0"/>
        </w:tabs>
        <w:ind w:start="1440" w:hanging="1080"/>
      </w:pPr>
      <w:rPr/>
    </w:lvl>
    <w:lvl w:ilvl="5">
      <w:start w:val="1"/>
      <w:numFmt w:val="decimal"/>
      <w:isLgl/>
      <w:lvlText w:val="%1.%2.%3.%4.%5.%6"/>
      <w:lvlJc w:val="start"/>
      <w:pPr>
        <w:tabs>
          <w:tab w:val="num" w:pos="0"/>
        </w:tabs>
        <w:ind w:start="1440" w:hanging="1080"/>
      </w:pPr>
      <w:rPr/>
    </w:lvl>
    <w:lvl w:ilvl="6">
      <w:start w:val="1"/>
      <w:numFmt w:val="decimal"/>
      <w:isLgl/>
      <w:lvlText w:val="%1.%2.%3.%4.%5.%6.%7"/>
      <w:lvlJc w:val="start"/>
      <w:pPr>
        <w:tabs>
          <w:tab w:val="num" w:pos="0"/>
        </w:tabs>
        <w:ind w:start="1800" w:hanging="1440"/>
      </w:pPr>
      <w:rPr/>
    </w:lvl>
    <w:lvl w:ilvl="7">
      <w:start w:val="1"/>
      <w:numFmt w:val="decimal"/>
      <w:isLgl/>
      <w:lvlText w:val="%1.%2.%3.%4.%5.%6.%7.%8"/>
      <w:lvlJc w:val="start"/>
      <w:pPr>
        <w:tabs>
          <w:tab w:val="num" w:pos="0"/>
        </w:tabs>
        <w:ind w:start="1800" w:hanging="1440"/>
      </w:pPr>
      <w:rPr/>
    </w:lvl>
    <w:lvl w:ilvl="8">
      <w:start w:val="1"/>
      <w:numFmt w:val="decimal"/>
      <w:isLgl/>
      <w:lvlText w:val="%1.%2.%3.%4.%5.%6.%7.%8.%9"/>
      <w:lvlJc w:val="start"/>
      <w:pPr>
        <w:tabs>
          <w:tab w:val="num" w:pos="0"/>
        </w:tabs>
        <w:ind w:start="1800" w:hanging="144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isLgl/>
      <w:lvlText w:val="%1.%2"/>
      <w:lvlJc w:val="start"/>
      <w:pPr>
        <w:tabs>
          <w:tab w:val="num" w:pos="0"/>
        </w:tabs>
        <w:ind w:start="644" w:hanging="360"/>
      </w:pPr>
      <w:rPr/>
    </w:lvl>
    <w:lvl w:ilvl="2">
      <w:start w:val="1"/>
      <w:numFmt w:val="decimal"/>
      <w:isLgl/>
      <w:lvlText w:val="%1.%2.%3"/>
      <w:lvlJc w:val="start"/>
      <w:pPr>
        <w:tabs>
          <w:tab w:val="num" w:pos="0"/>
        </w:tabs>
        <w:ind w:start="1080" w:hanging="720"/>
      </w:pPr>
      <w:rPr/>
    </w:lvl>
    <w:lvl w:ilvl="3">
      <w:start w:val="1"/>
      <w:numFmt w:val="decimal"/>
      <w:isLgl/>
      <w:lvlText w:val="%1.%2.%3.%4"/>
      <w:lvlJc w:val="start"/>
      <w:pPr>
        <w:tabs>
          <w:tab w:val="num" w:pos="0"/>
        </w:tabs>
        <w:ind w:start="1080" w:hanging="720"/>
      </w:pPr>
      <w:rPr/>
    </w:lvl>
    <w:lvl w:ilvl="4">
      <w:start w:val="1"/>
      <w:numFmt w:val="decimal"/>
      <w:isLgl/>
      <w:lvlText w:val="%1.%2.%3.%4.%5"/>
      <w:lvlJc w:val="start"/>
      <w:pPr>
        <w:tabs>
          <w:tab w:val="num" w:pos="0"/>
        </w:tabs>
        <w:ind w:start="1440" w:hanging="1080"/>
      </w:pPr>
      <w:rPr/>
    </w:lvl>
    <w:lvl w:ilvl="5">
      <w:start w:val="1"/>
      <w:numFmt w:val="decimal"/>
      <w:isLgl/>
      <w:lvlText w:val="%1.%2.%3.%4.%5.%6"/>
      <w:lvlJc w:val="start"/>
      <w:pPr>
        <w:tabs>
          <w:tab w:val="num" w:pos="0"/>
        </w:tabs>
        <w:ind w:start="1440" w:hanging="1080"/>
      </w:pPr>
      <w:rPr/>
    </w:lvl>
    <w:lvl w:ilvl="6">
      <w:start w:val="1"/>
      <w:numFmt w:val="decimal"/>
      <w:isLgl/>
      <w:lvlText w:val="%1.%2.%3.%4.%5.%6.%7"/>
      <w:lvlJc w:val="start"/>
      <w:pPr>
        <w:tabs>
          <w:tab w:val="num" w:pos="0"/>
        </w:tabs>
        <w:ind w:start="1800" w:hanging="1440"/>
      </w:pPr>
      <w:rPr/>
    </w:lvl>
    <w:lvl w:ilvl="7">
      <w:start w:val="1"/>
      <w:numFmt w:val="decimal"/>
      <w:isLgl/>
      <w:lvlText w:val="%1.%2.%3.%4.%5.%6.%7.%8"/>
      <w:lvlJc w:val="start"/>
      <w:pPr>
        <w:tabs>
          <w:tab w:val="num" w:pos="0"/>
        </w:tabs>
        <w:ind w:start="1800" w:hanging="1440"/>
      </w:pPr>
      <w:rPr/>
    </w:lvl>
    <w:lvl w:ilvl="8">
      <w:start w:val="1"/>
      <w:numFmt w:val="decimal"/>
      <w:isLgl/>
      <w:lvlText w:val="%1.%2.%3.%4.%5.%6.%7.%8.%9"/>
      <w:lvlJc w:val="start"/>
      <w:pPr>
        <w:tabs>
          <w:tab w:val="num" w:pos="0"/>
        </w:tabs>
        <w:ind w:start="1800" w:hanging="14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bidi="ar-SA" w:val="sk-SK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 w:before="0" w:after="0"/>
      <w:ind w:hanging="284" w:start="284" w:end="0"/>
      <w:outlineLvl w:val="0"/>
    </w:pPr>
    <w:rPr>
      <w:rFonts w:eastAsia="Times New Roman" w:cs="Times New Roman"/>
      <w:b/>
      <w:bCs/>
      <w:kern w:val="2"/>
      <w:szCs w:val="32"/>
    </w:rPr>
  </w:style>
  <w:style w:type="character" w:styleId="WW8Num1z0">
    <w:name w:val="WW8Num1z0"/>
    <w:qFormat/>
    <w:rPr>
      <w:rFonts w:ascii="Tahoma" w:hAnsi="Tahoma" w:eastAsia="Times New Roman" w:cs="Tahoma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Calibri" w:hAnsi="Calibri" w:eastAsia="Calibri" w:cs="Times New Roman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Calibri" w:hAnsi="Calibri" w:eastAsia="Calibri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>
      <w:rFonts w:ascii="Calibri" w:hAnsi="Calibri" w:eastAsia="Calibri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Calibri" w:hAnsi="Calibri" w:eastAsia="Times New Roman" w:cs="Aria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Calibri" w:hAnsi="Calibri" w:eastAsia="Times New Roman" w:cs="Aria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>
      <w:rFonts w:ascii="Calibri" w:hAnsi="Calibri" w:eastAsia="Calibri" w:cs="Times New Roman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Calibri" w:hAnsi="Calibri" w:eastAsia="Calibri" w:cs="Times New Roman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1z0">
    <w:name w:val="WW8Num11z0"/>
    <w:qFormat/>
    <w:rPr>
      <w:rFonts w:ascii="Calibri" w:hAnsi="Calibri" w:eastAsia="Calibri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Calibri" w:hAnsi="Calibri" w:eastAsia="Calibri" w:cs="Times New Roman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rFonts w:ascii="Calibri" w:hAnsi="Calibri" w:eastAsia="Calibri" w:cs="Times New Roman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3z3">
    <w:name w:val="WW8Num13z3"/>
    <w:qFormat/>
    <w:rPr>
      <w:rFonts w:ascii="Symbol" w:hAnsi="Symbol" w:cs="Symbol"/>
    </w:rPr>
  </w:style>
  <w:style w:type="character" w:styleId="WW8Num14z0">
    <w:name w:val="WW8Num14z0"/>
    <w:qFormat/>
    <w:rPr>
      <w:rFonts w:ascii="Calibri" w:hAnsi="Calibri" w:eastAsia="Calibri" w:cs="Times New Roman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rFonts w:ascii="Calibri" w:hAnsi="Calibri" w:eastAsia="Calibri" w:cs="Times New Roman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Predvolenpsmoodseku">
    <w:name w:val="Predvolené písmo odseku"/>
    <w:qFormat/>
    <w:rPr/>
  </w:style>
  <w:style w:type="character" w:styleId="Nadpis1Char">
    <w:name w:val="Nadpis 1 Char"/>
    <w:qFormat/>
    <w:rPr>
      <w:rFonts w:eastAsia="Times New Roman" w:cs="Times New Roman"/>
      <w:b/>
      <w:bCs/>
      <w:kern w:val="2"/>
      <w:sz w:val="22"/>
      <w:szCs w:val="32"/>
    </w:rPr>
  </w:style>
  <w:style w:type="character" w:styleId="TextbublinyChar">
    <w:name w:val="Text bubliny Char"/>
    <w:qFormat/>
    <w:rPr>
      <w:rFonts w:ascii="Tahoma" w:hAnsi="Tahoma" w:cs="Tahoma"/>
      <w:sz w:val="16"/>
      <w:szCs w:val="16"/>
    </w:rPr>
  </w:style>
  <w:style w:type="character" w:styleId="TextpoznmkypodiarouChar">
    <w:name w:val="Text poznámky pod čiarou Char"/>
    <w:qFormat/>
    <w:rPr>
      <w:rFonts w:ascii="Arial" w:hAnsi="Arial" w:eastAsia="Times New Roman" w:cs="Arial"/>
      <w:lang w:val="en-GB"/>
    </w:rPr>
  </w:style>
  <w:style w:type="character" w:styleId="Znakyprepoznmkupodiarou">
    <w:name w:val="Znaky pre poznámku pod čiarou"/>
    <w:qFormat/>
    <w:rPr>
      <w:rFonts w:cs="Times New Roman"/>
      <w:vertAlign w:val="superscript"/>
    </w:rPr>
  </w:style>
  <w:style w:type="character" w:styleId="OdsekzoznamuChar">
    <w:name w:val="Odsek zoznamu Char"/>
    <w:qFormat/>
    <w:rPr>
      <w:sz w:val="22"/>
      <w:szCs w:val="22"/>
    </w:rPr>
  </w:style>
  <w:style w:type="character" w:styleId="tl1Char">
    <w:name w:val="Štýl1 Char"/>
    <w:qFormat/>
    <w:rPr>
      <w:sz w:val="22"/>
      <w:szCs w:val="22"/>
    </w:rPr>
  </w:style>
  <w:style w:type="character" w:styleId="HlavikaChar">
    <w:name w:val="Hlavička Char"/>
    <w:qFormat/>
    <w:rPr>
      <w:sz w:val="22"/>
      <w:szCs w:val="22"/>
    </w:rPr>
  </w:style>
  <w:style w:type="character" w:styleId="PtaChar">
    <w:name w:val="Päta Char"/>
    <w:qFormat/>
    <w:rPr>
      <w:sz w:val="22"/>
      <w:szCs w:val="22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Textbubliny">
    <w:name w:val="Text bubliny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Odsekzoznamu">
    <w:name w:val="Odsek zoznamu"/>
    <w:basedOn w:val="Normal"/>
    <w:qFormat/>
    <w:pPr>
      <w:spacing w:before="0" w:after="200"/>
      <w:ind w:hanging="0" w:start="720" w:end="0"/>
      <w:contextualSpacing/>
    </w:pPr>
    <w:rPr/>
  </w:style>
  <w:style w:type="paragraph" w:styleId="FootnoteText">
    <w:name w:val="footnote text"/>
    <w:basedOn w:val="Normal"/>
    <w:pPr>
      <w:spacing w:lineRule="auto" w:line="240" w:before="0" w:after="240"/>
    </w:pPr>
    <w:rPr>
      <w:rFonts w:ascii="Arial" w:hAnsi="Arial" w:eastAsia="Times New Roman" w:cs="Arial"/>
      <w:sz w:val="20"/>
      <w:szCs w:val="20"/>
      <w:lang w:val="en-GB"/>
    </w:rPr>
  </w:style>
  <w:style w:type="paragraph" w:styleId="Default">
    <w:name w:val="Default"/>
    <w:qFormat/>
    <w:pPr>
      <w:widowControl/>
      <w:autoSpaceDE w:val="false"/>
      <w:bidi w:val="0"/>
    </w:pPr>
    <w:rPr>
      <w:rFonts w:ascii="Century Gothic" w:hAnsi="Century Gothic" w:eastAsia="Times New Roman" w:cs="Century Gothic"/>
      <w:color w:val="000000"/>
      <w:sz w:val="24"/>
      <w:szCs w:val="24"/>
      <w:lang w:bidi="ar-SA" w:val="sk-SK" w:eastAsia="zh-CN"/>
    </w:rPr>
  </w:style>
  <w:style w:type="paragraph" w:styleId="tl1">
    <w:name w:val="Štýl1"/>
    <w:basedOn w:val="Normal"/>
    <w:qFormat/>
    <w:pPr>
      <w:numPr>
        <w:ilvl w:val="0"/>
        <w:numId w:val="2"/>
      </w:numPr>
      <w:spacing w:lineRule="auto" w:line="360" w:before="0" w:after="0"/>
      <w:ind w:hanging="567" w:start="567" w:end="0"/>
    </w:pPr>
    <w:rPr/>
  </w:style>
  <w:style w:type="paragraph" w:styleId="Hlavikaapta">
    <w:name w:val="Hlavička a pät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Obsahtabuky">
    <w:name w:val="Obsah tabuľky"/>
    <w:basedOn w:val="Normal"/>
    <w:qFormat/>
    <w:pPr>
      <w:widowControl w:val="false"/>
      <w:suppressLineNumbers/>
    </w:pPr>
    <w:rPr/>
  </w:style>
  <w:style w:type="paragraph" w:styleId="Zhlavietabuky">
    <w:name w:val="Záhlavie tabuľky"/>
    <w:basedOn w:val="Obsahtabuky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13</TotalTime>
  <Application>LibreOffice/26.2.5.2$Windows_X86_64 LibreOffice_project/cd7284b4cbbfeb507e630c1aac019f4157393acb</Application>
  <AppVersion>15.0000</AppVersion>
  <Pages>1</Pages>
  <Words>183</Words>
  <Characters>1205</Characters>
  <CharactersWithSpaces>1343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2024-10-29T11:53:00Z</dcterms:created>
  <dc:creator>Zuzka R</dc:creator>
  <dc:description/>
  <cp:keywords/>
  <dc:language>sk-SK</dc:language>
  <cp:lastModifiedBy/>
  <cp:lastPrinted>2022-05-08T01:51:00Z</cp:lastPrinted>
  <dcterms:modified xsi:type="dcterms:W3CDTF">2026-09-23T18:58:46Z</dcterms:modified>
  <cp:revision>6</cp:revision>
  <dc:subject/>
  <dc:title/>
</cp:coreProperties>
</file>