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0104562F" w:rsidR="003F5A89" w:rsidRPr="00CF657C" w:rsidRDefault="003F5A89" w:rsidP="003F5A89">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w:t>
            </w:r>
            <w:r>
              <w:rPr>
                <w:rFonts w:cs="Arial"/>
                <w:szCs w:val="20"/>
              </w:rPr>
              <w:t xml:space="preserve">poverená </w:t>
            </w:r>
            <w:r w:rsidRPr="00CF657C">
              <w:rPr>
                <w:rFonts w:cs="Arial"/>
                <w:szCs w:val="20"/>
              </w:rPr>
              <w:t>riad</w:t>
            </w:r>
            <w:r>
              <w:rPr>
                <w:rFonts w:cs="Arial"/>
                <w:szCs w:val="20"/>
              </w:rPr>
              <w:t>ením</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77777777" w:rsidR="00A40464" w:rsidRPr="00CF657C" w:rsidRDefault="00A40464" w:rsidP="00EB7658">
            <w:pPr>
              <w:spacing w:after="0" w:line="360" w:lineRule="auto"/>
              <w:jc w:val="both"/>
              <w:rPr>
                <w:rFonts w:cs="Arial"/>
                <w:szCs w:val="20"/>
              </w:rPr>
            </w:pPr>
            <w:r w:rsidRPr="00CF657C">
              <w:t>www.lesy.sk</w:t>
            </w:r>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5F19E568"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výzva č. 1</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lastRenderedPageBreak/>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t>Predpokladaná hodnota predmetu zákazky v tejto výzve:</w:t>
      </w:r>
    </w:p>
    <w:p w14:paraId="6117A346" w14:textId="41379DD2"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3F5A89">
        <w:rPr>
          <w:rFonts w:cs="Arial"/>
          <w:b/>
          <w:bCs/>
          <w:szCs w:val="20"/>
        </w:rPr>
        <w:t>29</w:t>
      </w:r>
      <w:r w:rsidR="00116771" w:rsidRPr="00116771">
        <w:rPr>
          <w:rFonts w:cs="Arial"/>
          <w:b/>
          <w:bCs/>
          <w:szCs w:val="20"/>
        </w:rPr>
        <w:t> </w:t>
      </w:r>
      <w:r w:rsidR="003F5A89">
        <w:rPr>
          <w:rFonts w:cs="Arial"/>
          <w:b/>
          <w:bCs/>
          <w:szCs w:val="20"/>
        </w:rPr>
        <w:t>355</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lastRenderedPageBreak/>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466C27" w14:paraId="104E76F3" w14:textId="77777777" w:rsidTr="001A3791">
        <w:tc>
          <w:tcPr>
            <w:tcW w:w="388" w:type="pct"/>
          </w:tcPr>
          <w:p w14:paraId="35099190" w14:textId="342608DD" w:rsidR="00466C27" w:rsidRDefault="00466C27" w:rsidP="00466C27">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29FB2890" w:rsidR="00466C27" w:rsidRDefault="00466C27" w:rsidP="00466C27">
            <w:pPr>
              <w:spacing w:after="0"/>
              <w:jc w:val="center"/>
              <w:rPr>
                <w:rFonts w:cs="Arial"/>
                <w:szCs w:val="20"/>
              </w:rPr>
            </w:pPr>
            <w:r>
              <w:rPr>
                <w:rFonts w:cs="Arial"/>
                <w:szCs w:val="20"/>
              </w:rPr>
              <w:t xml:space="preserve"> 31,5/63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2F390265" w:rsidR="00466C27" w:rsidRDefault="00466C27" w:rsidP="00466C27">
            <w:pPr>
              <w:spacing w:after="0"/>
              <w:jc w:val="center"/>
              <w:rPr>
                <w:rFonts w:cs="Arial"/>
                <w:szCs w:val="20"/>
              </w:rPr>
            </w:pPr>
            <w:r>
              <w:rPr>
                <w:rFonts w:cs="Arial"/>
                <w:color w:val="000000"/>
                <w:szCs w:val="20"/>
              </w:rPr>
              <w:t>650 ton</w:t>
            </w:r>
          </w:p>
        </w:tc>
      </w:tr>
      <w:tr w:rsidR="00466C27" w14:paraId="3151396C" w14:textId="77777777" w:rsidTr="001A3791">
        <w:tc>
          <w:tcPr>
            <w:tcW w:w="388" w:type="pct"/>
          </w:tcPr>
          <w:p w14:paraId="72DAE27B" w14:textId="4ADA82FD" w:rsidR="00466C27" w:rsidRDefault="00466C27" w:rsidP="00466C27">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49F9F200" w:rsidR="00466C27" w:rsidRDefault="00466C27" w:rsidP="00466C27">
            <w:pPr>
              <w:spacing w:after="0"/>
              <w:jc w:val="center"/>
              <w:rPr>
                <w:rFonts w:cs="Arial"/>
                <w:szCs w:val="20"/>
              </w:rPr>
            </w:pPr>
            <w:r>
              <w:rPr>
                <w:rFonts w:cs="Arial"/>
                <w:szCs w:val="20"/>
              </w:rPr>
              <w:t xml:space="preserve"> 63/350</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391DB9D4" w:rsidR="00466C27" w:rsidRDefault="00466C27" w:rsidP="00466C27">
            <w:pPr>
              <w:spacing w:after="0"/>
              <w:jc w:val="center"/>
              <w:rPr>
                <w:rFonts w:cs="Arial"/>
                <w:szCs w:val="20"/>
              </w:rPr>
            </w:pPr>
            <w:r>
              <w:rPr>
                <w:rFonts w:cs="Arial"/>
                <w:color w:val="000000"/>
                <w:szCs w:val="20"/>
              </w:rPr>
              <w:t>350 ton</w:t>
            </w:r>
          </w:p>
        </w:tc>
      </w:tr>
      <w:tr w:rsidR="00466C27" w14:paraId="5E7F280F" w14:textId="77777777" w:rsidTr="001A3791">
        <w:tc>
          <w:tcPr>
            <w:tcW w:w="388" w:type="pct"/>
          </w:tcPr>
          <w:p w14:paraId="02365A26" w14:textId="1972D34E" w:rsidR="00466C27" w:rsidRDefault="00466C27" w:rsidP="00466C27">
            <w:pPr>
              <w:spacing w:after="0"/>
              <w:jc w:val="center"/>
              <w:rPr>
                <w:rFonts w:cs="Arial"/>
                <w:szCs w:val="20"/>
              </w:rPr>
            </w:pPr>
            <w:r>
              <w:rPr>
                <w:rFonts w:cs="Arial"/>
                <w:szCs w:val="20"/>
              </w:rPr>
              <w:t>3.</w:t>
            </w:r>
          </w:p>
        </w:tc>
        <w:tc>
          <w:tcPr>
            <w:tcW w:w="2112" w:type="pct"/>
            <w:tcBorders>
              <w:top w:val="nil"/>
              <w:left w:val="single" w:sz="4" w:space="0" w:color="auto"/>
              <w:bottom w:val="single" w:sz="4" w:space="0" w:color="auto"/>
              <w:right w:val="single" w:sz="4" w:space="0" w:color="auto"/>
            </w:tcBorders>
            <w:shd w:val="clear" w:color="auto" w:fill="auto"/>
            <w:vAlign w:val="bottom"/>
          </w:tcPr>
          <w:p w14:paraId="1414BFF3" w14:textId="02026044" w:rsidR="00466C27" w:rsidRDefault="00466C27" w:rsidP="00466C27">
            <w:pPr>
              <w:spacing w:after="0"/>
              <w:jc w:val="center"/>
              <w:rPr>
                <w:rFonts w:cs="Arial"/>
                <w:szCs w:val="20"/>
              </w:rPr>
            </w:pPr>
            <w:r>
              <w:rPr>
                <w:rFonts w:cs="Arial"/>
                <w:szCs w:val="20"/>
              </w:rPr>
              <w:t xml:space="preserve"> 63/125</w:t>
            </w:r>
          </w:p>
        </w:tc>
        <w:tc>
          <w:tcPr>
            <w:tcW w:w="2500" w:type="pct"/>
            <w:tcBorders>
              <w:top w:val="nil"/>
              <w:left w:val="single" w:sz="4" w:space="0" w:color="auto"/>
              <w:bottom w:val="single" w:sz="4" w:space="0" w:color="auto"/>
              <w:right w:val="single" w:sz="4" w:space="0" w:color="auto"/>
            </w:tcBorders>
            <w:shd w:val="clear" w:color="auto" w:fill="auto"/>
            <w:vAlign w:val="bottom"/>
          </w:tcPr>
          <w:p w14:paraId="7B148D56" w14:textId="446ECB63" w:rsidR="00466C27" w:rsidRDefault="00466C27" w:rsidP="00466C27">
            <w:pPr>
              <w:spacing w:after="0"/>
              <w:jc w:val="center"/>
              <w:rPr>
                <w:rFonts w:cs="Arial"/>
                <w:szCs w:val="20"/>
              </w:rPr>
            </w:pPr>
            <w:r>
              <w:rPr>
                <w:rFonts w:cs="Arial"/>
                <w:color w:val="000000"/>
                <w:szCs w:val="20"/>
              </w:rPr>
              <w:t>500 ton</w:t>
            </w:r>
          </w:p>
        </w:tc>
      </w:tr>
      <w:tr w:rsidR="00466C27" w14:paraId="22993D0A" w14:textId="77777777" w:rsidTr="001A3791">
        <w:tc>
          <w:tcPr>
            <w:tcW w:w="388" w:type="pct"/>
          </w:tcPr>
          <w:p w14:paraId="3107FE21" w14:textId="438572BF" w:rsidR="00466C27" w:rsidRDefault="00466C27" w:rsidP="00466C27">
            <w:pPr>
              <w:spacing w:after="0"/>
              <w:jc w:val="center"/>
              <w:rPr>
                <w:rFonts w:cs="Arial"/>
                <w:szCs w:val="20"/>
              </w:rPr>
            </w:pPr>
            <w:r>
              <w:rPr>
                <w:rFonts w:cs="Arial"/>
                <w:szCs w:val="20"/>
              </w:rPr>
              <w:t>4.</w:t>
            </w:r>
          </w:p>
        </w:tc>
        <w:tc>
          <w:tcPr>
            <w:tcW w:w="2112" w:type="pct"/>
            <w:tcBorders>
              <w:top w:val="nil"/>
              <w:left w:val="single" w:sz="4" w:space="0" w:color="auto"/>
              <w:bottom w:val="single" w:sz="4" w:space="0" w:color="auto"/>
              <w:right w:val="single" w:sz="4" w:space="0" w:color="auto"/>
            </w:tcBorders>
            <w:shd w:val="clear" w:color="auto" w:fill="auto"/>
            <w:vAlign w:val="bottom"/>
          </w:tcPr>
          <w:p w14:paraId="4F309F31" w14:textId="4A70479D" w:rsidR="00466C27" w:rsidRDefault="00466C27" w:rsidP="00466C27">
            <w:pPr>
              <w:spacing w:after="0"/>
              <w:jc w:val="center"/>
              <w:rPr>
                <w:rFonts w:cs="Arial"/>
                <w:szCs w:val="20"/>
              </w:rPr>
            </w:pPr>
            <w:r>
              <w:rPr>
                <w:rFonts w:cs="Arial"/>
                <w:szCs w:val="20"/>
              </w:rPr>
              <w:t xml:space="preserve"> 0/63</w:t>
            </w:r>
          </w:p>
        </w:tc>
        <w:tc>
          <w:tcPr>
            <w:tcW w:w="2500" w:type="pct"/>
            <w:tcBorders>
              <w:top w:val="nil"/>
              <w:left w:val="single" w:sz="4" w:space="0" w:color="auto"/>
              <w:bottom w:val="single" w:sz="4" w:space="0" w:color="auto"/>
              <w:right w:val="single" w:sz="4" w:space="0" w:color="auto"/>
            </w:tcBorders>
            <w:shd w:val="clear" w:color="auto" w:fill="auto"/>
            <w:vAlign w:val="bottom"/>
          </w:tcPr>
          <w:p w14:paraId="1757E92E" w14:textId="697D78D8" w:rsidR="00466C27" w:rsidRDefault="00466C27" w:rsidP="00466C27">
            <w:pPr>
              <w:spacing w:after="0"/>
              <w:jc w:val="center"/>
              <w:rPr>
                <w:rFonts w:cs="Arial"/>
                <w:szCs w:val="20"/>
              </w:rPr>
            </w:pPr>
            <w:r>
              <w:rPr>
                <w:rFonts w:cs="Arial"/>
                <w:color w:val="000000"/>
                <w:szCs w:val="20"/>
              </w:rPr>
              <w:t>500 ton</w:t>
            </w:r>
          </w:p>
        </w:tc>
      </w:tr>
      <w:tr w:rsidR="00466C27" w14:paraId="62F04D35" w14:textId="77777777" w:rsidTr="001A3791">
        <w:tc>
          <w:tcPr>
            <w:tcW w:w="388" w:type="pct"/>
          </w:tcPr>
          <w:p w14:paraId="7CF93F07" w14:textId="3840B76A" w:rsidR="00466C27" w:rsidRDefault="00466C27" w:rsidP="00466C27">
            <w:pPr>
              <w:spacing w:after="0"/>
              <w:jc w:val="center"/>
              <w:rPr>
                <w:rFonts w:cs="Arial"/>
                <w:szCs w:val="20"/>
              </w:rPr>
            </w:pPr>
            <w:r>
              <w:rPr>
                <w:rFonts w:cs="Arial"/>
                <w:szCs w:val="20"/>
              </w:rPr>
              <w:t>5.</w:t>
            </w:r>
          </w:p>
        </w:tc>
        <w:tc>
          <w:tcPr>
            <w:tcW w:w="2112" w:type="pct"/>
            <w:tcBorders>
              <w:top w:val="nil"/>
              <w:left w:val="single" w:sz="4" w:space="0" w:color="auto"/>
              <w:bottom w:val="single" w:sz="4" w:space="0" w:color="auto"/>
              <w:right w:val="single" w:sz="4" w:space="0" w:color="auto"/>
            </w:tcBorders>
            <w:shd w:val="clear" w:color="auto" w:fill="auto"/>
            <w:vAlign w:val="bottom"/>
          </w:tcPr>
          <w:p w14:paraId="6BC76C5E" w14:textId="2C71AAF9" w:rsidR="00466C27" w:rsidRDefault="00466C27" w:rsidP="00466C27">
            <w:pPr>
              <w:spacing w:after="0"/>
              <w:jc w:val="center"/>
              <w:rPr>
                <w:rFonts w:cs="Arial"/>
                <w:szCs w:val="20"/>
              </w:rPr>
            </w:pPr>
            <w:r>
              <w:rPr>
                <w:rFonts w:cs="Arial"/>
                <w:szCs w:val="20"/>
              </w:rPr>
              <w:t>LK netriedené</w:t>
            </w:r>
          </w:p>
        </w:tc>
        <w:tc>
          <w:tcPr>
            <w:tcW w:w="2500" w:type="pct"/>
            <w:tcBorders>
              <w:top w:val="nil"/>
              <w:left w:val="single" w:sz="4" w:space="0" w:color="auto"/>
              <w:bottom w:val="single" w:sz="4" w:space="0" w:color="auto"/>
              <w:right w:val="single" w:sz="4" w:space="0" w:color="auto"/>
            </w:tcBorders>
            <w:shd w:val="clear" w:color="auto" w:fill="auto"/>
            <w:vAlign w:val="bottom"/>
          </w:tcPr>
          <w:p w14:paraId="5C9533C7" w14:textId="0D91D52E" w:rsidR="00466C27" w:rsidRDefault="00466C27" w:rsidP="00466C27">
            <w:pPr>
              <w:spacing w:after="0"/>
              <w:jc w:val="center"/>
              <w:rPr>
                <w:rFonts w:cs="Arial"/>
                <w:szCs w:val="20"/>
              </w:rPr>
            </w:pPr>
            <w:r>
              <w:rPr>
                <w:rFonts w:cs="Arial"/>
                <w:color w:val="000000"/>
                <w:szCs w:val="20"/>
              </w:rPr>
              <w:t>100 ton</w:t>
            </w:r>
          </w:p>
        </w:tc>
      </w:tr>
      <w:tr w:rsidR="00466C27" w14:paraId="2593D1D4" w14:textId="77777777" w:rsidTr="001A3791">
        <w:tc>
          <w:tcPr>
            <w:tcW w:w="388" w:type="pct"/>
          </w:tcPr>
          <w:p w14:paraId="29F37C1E" w14:textId="33AD9F62" w:rsidR="00466C27" w:rsidRDefault="00466C27" w:rsidP="00466C27">
            <w:pPr>
              <w:spacing w:after="0"/>
              <w:jc w:val="center"/>
              <w:rPr>
                <w:rFonts w:cs="Arial"/>
                <w:szCs w:val="20"/>
              </w:rPr>
            </w:pPr>
            <w:r>
              <w:rPr>
                <w:rFonts w:cs="Arial"/>
                <w:szCs w:val="20"/>
              </w:rPr>
              <w:t>6.</w:t>
            </w:r>
          </w:p>
        </w:tc>
        <w:tc>
          <w:tcPr>
            <w:tcW w:w="2112" w:type="pct"/>
            <w:tcBorders>
              <w:top w:val="nil"/>
              <w:left w:val="single" w:sz="4" w:space="0" w:color="auto"/>
              <w:bottom w:val="single" w:sz="4" w:space="0" w:color="auto"/>
              <w:right w:val="single" w:sz="4" w:space="0" w:color="auto"/>
            </w:tcBorders>
            <w:shd w:val="clear" w:color="auto" w:fill="auto"/>
            <w:vAlign w:val="bottom"/>
          </w:tcPr>
          <w:p w14:paraId="37CEC405" w14:textId="10DB78FD" w:rsidR="00466C27" w:rsidRDefault="00466C27" w:rsidP="00466C27">
            <w:pPr>
              <w:spacing w:after="0"/>
              <w:jc w:val="center"/>
              <w:rPr>
                <w:rFonts w:cs="Arial"/>
                <w:szCs w:val="20"/>
              </w:rPr>
            </w:pPr>
            <w:r>
              <w:rPr>
                <w:rFonts w:cs="Arial"/>
                <w:szCs w:val="20"/>
              </w:rPr>
              <w:t xml:space="preserve"> 0/32</w:t>
            </w:r>
          </w:p>
        </w:tc>
        <w:tc>
          <w:tcPr>
            <w:tcW w:w="2500" w:type="pct"/>
            <w:tcBorders>
              <w:top w:val="nil"/>
              <w:left w:val="single" w:sz="4" w:space="0" w:color="auto"/>
              <w:bottom w:val="single" w:sz="4" w:space="0" w:color="auto"/>
              <w:right w:val="single" w:sz="4" w:space="0" w:color="auto"/>
            </w:tcBorders>
            <w:shd w:val="clear" w:color="auto" w:fill="auto"/>
            <w:vAlign w:val="bottom"/>
          </w:tcPr>
          <w:p w14:paraId="1242BE86" w14:textId="2EAC0FF7" w:rsidR="00466C27" w:rsidRDefault="00466C27" w:rsidP="00466C27">
            <w:pPr>
              <w:spacing w:after="0"/>
              <w:jc w:val="center"/>
              <w:rPr>
                <w:rFonts w:cs="Arial"/>
                <w:szCs w:val="20"/>
              </w:rPr>
            </w:pPr>
            <w:r>
              <w:rPr>
                <w:rFonts w:cs="Arial"/>
                <w:color w:val="000000"/>
                <w:szCs w:val="20"/>
              </w:rPr>
              <w:t>250 ton</w:t>
            </w:r>
          </w:p>
        </w:tc>
      </w:tr>
      <w:tr w:rsidR="00466C27" w14:paraId="7A751BAC" w14:textId="77777777" w:rsidTr="001A3791">
        <w:tc>
          <w:tcPr>
            <w:tcW w:w="388" w:type="pct"/>
          </w:tcPr>
          <w:p w14:paraId="22D98B02" w14:textId="79B3926D" w:rsidR="00466C27" w:rsidRDefault="00466C27" w:rsidP="00466C27">
            <w:pPr>
              <w:spacing w:after="0"/>
              <w:jc w:val="center"/>
              <w:rPr>
                <w:rFonts w:cs="Arial"/>
                <w:szCs w:val="20"/>
              </w:rPr>
            </w:pPr>
            <w:r>
              <w:rPr>
                <w:rFonts w:cs="Arial"/>
                <w:szCs w:val="20"/>
              </w:rPr>
              <w:t>7.</w:t>
            </w:r>
          </w:p>
        </w:tc>
        <w:tc>
          <w:tcPr>
            <w:tcW w:w="2112" w:type="pct"/>
            <w:tcBorders>
              <w:top w:val="nil"/>
              <w:left w:val="single" w:sz="4" w:space="0" w:color="auto"/>
              <w:bottom w:val="single" w:sz="4" w:space="0" w:color="auto"/>
              <w:right w:val="single" w:sz="4" w:space="0" w:color="auto"/>
            </w:tcBorders>
            <w:shd w:val="clear" w:color="auto" w:fill="auto"/>
            <w:vAlign w:val="bottom"/>
          </w:tcPr>
          <w:p w14:paraId="0EB697E5" w14:textId="4EBD341D" w:rsidR="00466C27" w:rsidRDefault="00466C27" w:rsidP="00466C27">
            <w:pPr>
              <w:spacing w:after="0"/>
              <w:jc w:val="center"/>
              <w:rPr>
                <w:rFonts w:cs="Arial"/>
                <w:szCs w:val="20"/>
              </w:rPr>
            </w:pPr>
            <w:r>
              <w:rPr>
                <w:rFonts w:cs="Arial"/>
                <w:szCs w:val="20"/>
              </w:rPr>
              <w:t xml:space="preserve"> 8/16</w:t>
            </w:r>
          </w:p>
        </w:tc>
        <w:tc>
          <w:tcPr>
            <w:tcW w:w="2500" w:type="pct"/>
            <w:tcBorders>
              <w:top w:val="nil"/>
              <w:left w:val="single" w:sz="4" w:space="0" w:color="auto"/>
              <w:bottom w:val="single" w:sz="4" w:space="0" w:color="auto"/>
              <w:right w:val="single" w:sz="4" w:space="0" w:color="auto"/>
            </w:tcBorders>
            <w:shd w:val="clear" w:color="auto" w:fill="auto"/>
            <w:vAlign w:val="bottom"/>
          </w:tcPr>
          <w:p w14:paraId="0DEDE4F4" w14:textId="19ED50CC" w:rsidR="00466C27" w:rsidRDefault="00466C27" w:rsidP="00466C27">
            <w:pPr>
              <w:spacing w:after="0"/>
              <w:jc w:val="center"/>
              <w:rPr>
                <w:rFonts w:cs="Arial"/>
                <w:szCs w:val="20"/>
              </w:rPr>
            </w:pPr>
            <w:r>
              <w:rPr>
                <w:rFonts w:cs="Arial"/>
                <w:color w:val="000000"/>
                <w:szCs w:val="20"/>
              </w:rPr>
              <w:t>750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3DD01D7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04D69700"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B7151C">
        <w:rPr>
          <w:rFonts w:ascii="Arial" w:hAnsi="Arial" w:cs="Arial"/>
          <w:b/>
          <w:sz w:val="20"/>
          <w:u w:val="single"/>
          <w:lang w:val="sk-SK"/>
        </w:rPr>
        <w:t>14</w:t>
      </w:r>
      <w:r w:rsidR="002A3EE5" w:rsidRPr="002A3EE5">
        <w:rPr>
          <w:rFonts w:ascii="Arial" w:hAnsi="Arial" w:cs="Arial"/>
          <w:b/>
          <w:sz w:val="20"/>
          <w:u w:val="single"/>
          <w:lang w:val="sk-SK"/>
        </w:rPr>
        <w:t>.0</w:t>
      </w:r>
      <w:r w:rsidR="00B7151C">
        <w:rPr>
          <w:rFonts w:ascii="Arial" w:hAnsi="Arial" w:cs="Arial"/>
          <w:b/>
          <w:sz w:val="20"/>
          <w:u w:val="single"/>
          <w:lang w:val="sk-SK"/>
        </w:rPr>
        <w:t>8</w:t>
      </w:r>
      <w:r w:rsidR="002A3EE5" w:rsidRPr="002A3EE5">
        <w:rPr>
          <w:rFonts w:ascii="Arial" w:hAnsi="Arial" w:cs="Arial"/>
          <w:b/>
          <w:sz w:val="20"/>
          <w:u w:val="single"/>
          <w:lang w:val="sk-SK"/>
        </w:rPr>
        <w:t>.2020</w:t>
      </w:r>
      <w:r w:rsidRPr="002A3EE5">
        <w:rPr>
          <w:rFonts w:ascii="Arial" w:hAnsi="Arial" w:cs="Arial"/>
          <w:b/>
          <w:sz w:val="20"/>
          <w:u w:val="single"/>
          <w:lang w:val="sk-SK"/>
        </w:rPr>
        <w:t xml:space="preserve"> do </w:t>
      </w:r>
      <w:r w:rsidR="0046154D">
        <w:rPr>
          <w:rFonts w:ascii="Arial" w:hAnsi="Arial" w:cs="Arial"/>
          <w:b/>
          <w:sz w:val="20"/>
          <w:u w:val="single"/>
          <w:lang w:val="sk-SK"/>
        </w:rPr>
        <w:t>10:0</w:t>
      </w:r>
      <w:r w:rsidR="002A3EE5" w:rsidRPr="002A3EE5">
        <w:rPr>
          <w:rFonts w:ascii="Arial" w:hAnsi="Arial" w:cs="Arial"/>
          <w:b/>
          <w:sz w:val="20"/>
          <w:u w:val="single"/>
          <w:lang w:val="sk-SK"/>
        </w:rPr>
        <w:t>0</w:t>
      </w:r>
      <w:r w:rsidRPr="002A3EE5">
        <w:rPr>
          <w:rFonts w:ascii="Arial" w:hAnsi="Arial" w:cs="Arial"/>
          <w:b/>
          <w:sz w:val="20"/>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Pr="00A57D71" w:rsidRDefault="00A40464" w:rsidP="00A40464">
      <w:pPr>
        <w:numPr>
          <w:ilvl w:val="0"/>
          <w:numId w:val="4"/>
        </w:numPr>
        <w:spacing w:after="0"/>
        <w:jc w:val="both"/>
        <w:rPr>
          <w:rFonts w:cs="Arial"/>
          <w:b/>
          <w:szCs w:val="20"/>
        </w:rPr>
      </w:pPr>
      <w:bookmarkStart w:id="4" w:name="_Toc488059676"/>
      <w:r w:rsidRPr="00A57D71">
        <w:rPr>
          <w:rFonts w:cs="Arial"/>
          <w:b/>
          <w:szCs w:val="20"/>
        </w:rPr>
        <w:t>Predkladanie a obsah ponuky</w:t>
      </w:r>
      <w:bookmarkEnd w:id="4"/>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 xml:space="preserve">V predloženej ponuke </w:t>
      </w:r>
      <w:r w:rsidRPr="00A57D71">
        <w:rPr>
          <w:rFonts w:ascii="Arial" w:hAnsi="Arial" w:cs="Arial"/>
          <w:sz w:val="20"/>
          <w:lang w:val="sk-SK"/>
        </w:rPr>
        <w:lastRenderedPageBreak/>
        <w:t>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71F3ADE2" w14:textId="77777777" w:rsidR="00A40464" w:rsidRPr="00A57D71" w:rsidRDefault="00A40464" w:rsidP="00A40464">
      <w:pPr>
        <w:spacing w:after="0"/>
        <w:jc w:val="both"/>
        <w:rPr>
          <w:rFonts w:cs="Arial"/>
          <w:b/>
          <w:szCs w:val="20"/>
        </w:rPr>
      </w:pPr>
      <w:r w:rsidRPr="00A57D71">
        <w:rPr>
          <w:rFonts w:cs="Arial"/>
          <w:b/>
          <w:szCs w:val="20"/>
        </w:rPr>
        <w:t>Ponuka bude obsahovať:</w:t>
      </w:r>
    </w:p>
    <w:p w14:paraId="2C62B189" w14:textId="77777777" w:rsidR="00A40464" w:rsidRPr="00A57D71" w:rsidRDefault="00A40464" w:rsidP="00A40464">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6141A71D" w14:textId="77777777" w:rsidR="00E00FA9" w:rsidRPr="00E00FA9" w:rsidRDefault="00A40464" w:rsidP="00E00FA9">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2EB4F547" w14:textId="77777777" w:rsidR="00A40464" w:rsidRPr="00CF657C" w:rsidRDefault="00A40464" w:rsidP="00A40464">
      <w:pPr>
        <w:pStyle w:val="Bezriadkovania"/>
        <w:numPr>
          <w:ilvl w:val="0"/>
          <w:numId w:val="5"/>
        </w:numPr>
        <w:spacing w:line="276" w:lineRule="auto"/>
        <w:jc w:val="both"/>
        <w:rPr>
          <w:rFonts w:ascii="Arial" w:hAnsi="Arial" w:cs="Arial"/>
          <w:sz w:val="20"/>
          <w:lang w:val="sk-SK"/>
        </w:rPr>
      </w:pPr>
      <w:r w:rsidRPr="00CF657C">
        <w:rPr>
          <w:rFonts w:ascii="Arial" w:hAnsi="Arial" w:cs="Arial"/>
          <w:sz w:val="20"/>
          <w:lang w:val="sk-SK"/>
        </w:rPr>
        <w:t>Upresnenie, z akého lomu bude tovar dodávaný - miesto a názov lomu.</w:t>
      </w:r>
    </w:p>
    <w:p w14:paraId="6F32744A" w14:textId="77777777" w:rsidR="004F1946" w:rsidRPr="00CF657C" w:rsidRDefault="00CF657C" w:rsidP="00CF657C">
      <w:pPr>
        <w:pStyle w:val="Odsekzoznamu"/>
        <w:numPr>
          <w:ilvl w:val="0"/>
          <w:numId w:val="5"/>
        </w:numPr>
        <w:jc w:val="both"/>
        <w:rPr>
          <w:rFonts w:cs="Arial"/>
          <w:sz w:val="20"/>
          <w:szCs w:val="20"/>
          <w:lang w:eastAsia="cs-CZ"/>
        </w:rPr>
      </w:pPr>
      <w:r w:rsidRPr="00CF657C">
        <w:rPr>
          <w:rFonts w:cs="Arial"/>
          <w:sz w:val="20"/>
        </w:rPr>
        <w:t>Kúpnu zmluvu</w:t>
      </w:r>
      <w:r w:rsidR="00E00FA9" w:rsidRPr="00CF657C">
        <w:rPr>
          <w:rFonts w:cs="Arial"/>
          <w:sz w:val="20"/>
        </w:rPr>
        <w:t xml:space="preserve"> </w:t>
      </w:r>
      <w:r>
        <w:rPr>
          <w:rFonts w:cs="Arial"/>
          <w:sz w:val="20"/>
        </w:rPr>
        <w:t xml:space="preserve">spolu s jej prílohami </w:t>
      </w:r>
      <w:r w:rsidR="004F1946" w:rsidRPr="00CF657C">
        <w:rPr>
          <w:rFonts w:cs="Arial"/>
          <w:sz w:val="20"/>
          <w:szCs w:val="20"/>
          <w:lang w:eastAsia="cs-CZ"/>
        </w:rPr>
        <w:t>podpísanú štatutárnym zástupcom alebo osobou oprávnenou konať za zaradeného záujemcu, nahra</w:t>
      </w:r>
      <w:r w:rsidRPr="00CF657C">
        <w:rPr>
          <w:rFonts w:cs="Arial"/>
          <w:sz w:val="20"/>
          <w:szCs w:val="20"/>
          <w:lang w:eastAsia="cs-CZ"/>
        </w:rPr>
        <w:t xml:space="preserve">tú vo formáte </w:t>
      </w:r>
      <w:proofErr w:type="spellStart"/>
      <w:r w:rsidRPr="00CF657C">
        <w:rPr>
          <w:rFonts w:cs="Arial"/>
          <w:sz w:val="20"/>
          <w:szCs w:val="20"/>
          <w:lang w:eastAsia="cs-CZ"/>
        </w:rPr>
        <w:t>pdf</w:t>
      </w:r>
      <w:proofErr w:type="spellEnd"/>
      <w:r w:rsidRPr="00CF657C">
        <w:rPr>
          <w:rFonts w:cs="Arial"/>
          <w:sz w:val="20"/>
          <w:szCs w:val="20"/>
          <w:lang w:eastAsia="cs-CZ"/>
        </w:rPr>
        <w:t>. (príloha č. 2</w:t>
      </w:r>
      <w:r w:rsidR="004F1946" w:rsidRPr="00CF657C">
        <w:rPr>
          <w:rFonts w:cs="Arial"/>
          <w:sz w:val="20"/>
          <w:szCs w:val="20"/>
          <w:lang w:eastAsia="cs-CZ"/>
        </w:rPr>
        <w:t>).</w:t>
      </w:r>
    </w:p>
    <w:p w14:paraId="7DA4305E" w14:textId="77777777" w:rsidR="00A40464" w:rsidRPr="00A57D71" w:rsidRDefault="00A40464" w:rsidP="00A40464">
      <w:pPr>
        <w:numPr>
          <w:ilvl w:val="0"/>
          <w:numId w:val="4"/>
        </w:numPr>
        <w:spacing w:after="0"/>
        <w:jc w:val="both"/>
        <w:rPr>
          <w:rFonts w:cs="Arial"/>
          <w:b/>
          <w:szCs w:val="20"/>
        </w:rPr>
      </w:pPr>
      <w:bookmarkStart w:id="5" w:name="_Toc488059680"/>
      <w:r w:rsidRPr="00A57D71">
        <w:rPr>
          <w:rFonts w:cs="Arial"/>
          <w:b/>
          <w:szCs w:val="20"/>
        </w:rPr>
        <w:t>Doplnenie, zmena a odvolanie ponuky</w:t>
      </w:r>
      <w:bookmarkEnd w:id="5"/>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0"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lastRenderedPageBreak/>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w:t>
      </w:r>
      <w:r w:rsidRPr="00A57D71">
        <w:rPr>
          <w:rFonts w:cs="Arial"/>
          <w:szCs w:val="20"/>
        </w:rPr>
        <w:lastRenderedPageBreak/>
        <w:t xml:space="preserve">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6" w:name="_Toc488059681"/>
      <w:r w:rsidRPr="00A57D71">
        <w:rPr>
          <w:rFonts w:cs="Arial"/>
          <w:b/>
          <w:szCs w:val="20"/>
        </w:rPr>
        <w:t>Náklady na ponuku</w:t>
      </w:r>
      <w:bookmarkEnd w:id="6"/>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lastRenderedPageBreak/>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7"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79CFE167" w14:textId="502E2BCA"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F13BF9">
        <w:rPr>
          <w:rFonts w:eastAsia="TimesNewRomanPSMT"/>
        </w:rPr>
        <w:t>14</w:t>
      </w:r>
      <w:r w:rsidR="002A3EE5" w:rsidRPr="002A3EE5">
        <w:rPr>
          <w:rFonts w:eastAsia="TimesNewRomanPSMT"/>
        </w:rPr>
        <w:t>.0</w:t>
      </w:r>
      <w:r w:rsidR="00F13BF9">
        <w:rPr>
          <w:rFonts w:eastAsia="TimesNewRomanPSMT"/>
        </w:rPr>
        <w:t>8</w:t>
      </w:r>
      <w:r w:rsidR="002A3EE5" w:rsidRPr="002A3EE5">
        <w:rPr>
          <w:rFonts w:eastAsia="TimesNewRomanPSMT"/>
        </w:rPr>
        <w:t xml:space="preserve">.2020 </w:t>
      </w:r>
      <w:r w:rsidRPr="002A3EE5">
        <w:rPr>
          <w:rFonts w:eastAsia="TimesNewRomanPSMT"/>
        </w:rPr>
        <w:t>o</w:t>
      </w:r>
      <w:r w:rsidR="002A3EE5" w:rsidRPr="002A3EE5">
        <w:rPr>
          <w:rFonts w:eastAsia="TimesNewRomanPSMT"/>
        </w:rPr>
        <w:t> 1</w:t>
      </w:r>
      <w:r w:rsidR="00F13BF9">
        <w:rPr>
          <w:rFonts w:eastAsia="TimesNewRomanPSMT"/>
        </w:rPr>
        <w:t>1</w:t>
      </w:r>
      <w:r w:rsidR="002A3EE5" w:rsidRPr="002A3EE5">
        <w:rPr>
          <w:rFonts w:eastAsia="TimesNewRomanPSMT"/>
        </w:rPr>
        <w:t>:00</w:t>
      </w:r>
      <w:r w:rsidRPr="002A3EE5">
        <w:rPr>
          <w:rFonts w:eastAsia="TimesNewRomanPSMT"/>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bookmarkStart w:id="8" w:name="_GoBack"/>
      <w:bookmarkEnd w:id="8"/>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lastRenderedPageBreak/>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lastRenderedPageBreak/>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DEB8" w14:textId="77777777" w:rsidR="00DD5910" w:rsidRDefault="00DD5910" w:rsidP="00A40464">
      <w:pPr>
        <w:spacing w:after="0"/>
      </w:pPr>
      <w:r>
        <w:separator/>
      </w:r>
    </w:p>
  </w:endnote>
  <w:endnote w:type="continuationSeparator" w:id="0">
    <w:p w14:paraId="3B46DEE0" w14:textId="77777777" w:rsidR="00DD5910" w:rsidRDefault="00DD5910"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67984" w14:textId="77777777" w:rsidR="00DD5910" w:rsidRDefault="00DD5910" w:rsidP="00A40464">
      <w:pPr>
        <w:spacing w:after="0"/>
      </w:pPr>
      <w:r>
        <w:separator/>
      </w:r>
    </w:p>
  </w:footnote>
  <w:footnote w:type="continuationSeparator" w:id="0">
    <w:p w14:paraId="06439A25" w14:textId="77777777" w:rsidR="00DD5910" w:rsidRDefault="00DD5910"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16"/>
  </w:num>
  <w:num w:numId="4">
    <w:abstractNumId w:val="23"/>
  </w:num>
  <w:num w:numId="5">
    <w:abstractNumId w:val="21"/>
  </w:num>
  <w:num w:numId="6">
    <w:abstractNumId w:val="15"/>
  </w:num>
  <w:num w:numId="7">
    <w:abstractNumId w:val="0"/>
  </w:num>
  <w:num w:numId="8">
    <w:abstractNumId w:val="18"/>
  </w:num>
  <w:num w:numId="9">
    <w:abstractNumId w:val="27"/>
  </w:num>
  <w:num w:numId="10">
    <w:abstractNumId w:val="7"/>
  </w:num>
  <w:num w:numId="11">
    <w:abstractNumId w:val="12"/>
  </w:num>
  <w:num w:numId="12">
    <w:abstractNumId w:val="19"/>
  </w:num>
  <w:num w:numId="13">
    <w:abstractNumId w:val="24"/>
  </w:num>
  <w:num w:numId="14">
    <w:abstractNumId w:val="6"/>
  </w:num>
  <w:num w:numId="15">
    <w:abstractNumId w:val="13"/>
  </w:num>
  <w:num w:numId="16">
    <w:abstractNumId w:val="17"/>
  </w:num>
  <w:num w:numId="17">
    <w:abstractNumId w:val="5"/>
  </w:num>
  <w:num w:numId="18">
    <w:abstractNumId w:val="1"/>
  </w:num>
  <w:num w:numId="19">
    <w:abstractNumId w:val="26"/>
  </w:num>
  <w:num w:numId="20">
    <w:abstractNumId w:val="11"/>
  </w:num>
  <w:num w:numId="21">
    <w:abstractNumId w:val="28"/>
  </w:num>
  <w:num w:numId="22">
    <w:abstractNumId w:val="2"/>
  </w:num>
  <w:num w:numId="23">
    <w:abstractNumId w:val="9"/>
  </w:num>
  <w:num w:numId="24">
    <w:abstractNumId w:val="10"/>
  </w:num>
  <w:num w:numId="25">
    <w:abstractNumId w:val="20"/>
  </w:num>
  <w:num w:numId="26">
    <w:abstractNumId w:val="3"/>
  </w:num>
  <w:num w:numId="27">
    <w:abstractNumId w:val="25"/>
  </w:num>
  <w:num w:numId="28">
    <w:abstractNumId w:val="4"/>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42EED"/>
    <w:rsid w:val="000B6532"/>
    <w:rsid w:val="000E5CD6"/>
    <w:rsid w:val="00116771"/>
    <w:rsid w:val="00126365"/>
    <w:rsid w:val="00147EF1"/>
    <w:rsid w:val="002529CF"/>
    <w:rsid w:val="002A3EE5"/>
    <w:rsid w:val="00387576"/>
    <w:rsid w:val="003D12E2"/>
    <w:rsid w:val="003D2C06"/>
    <w:rsid w:val="003F5A89"/>
    <w:rsid w:val="0046154D"/>
    <w:rsid w:val="00466C27"/>
    <w:rsid w:val="004F1946"/>
    <w:rsid w:val="00544A50"/>
    <w:rsid w:val="00583467"/>
    <w:rsid w:val="0071642A"/>
    <w:rsid w:val="00725463"/>
    <w:rsid w:val="007C5555"/>
    <w:rsid w:val="00881E22"/>
    <w:rsid w:val="008A481D"/>
    <w:rsid w:val="00950D35"/>
    <w:rsid w:val="00A1728C"/>
    <w:rsid w:val="00A2788A"/>
    <w:rsid w:val="00A40464"/>
    <w:rsid w:val="00A50D38"/>
    <w:rsid w:val="00AC3F6A"/>
    <w:rsid w:val="00B57EF1"/>
    <w:rsid w:val="00B7151C"/>
    <w:rsid w:val="00BA7F39"/>
    <w:rsid w:val="00BF4CB1"/>
    <w:rsid w:val="00C00416"/>
    <w:rsid w:val="00C754D0"/>
    <w:rsid w:val="00CB7D87"/>
    <w:rsid w:val="00CC6510"/>
    <w:rsid w:val="00CF657C"/>
    <w:rsid w:val="00DB33B0"/>
    <w:rsid w:val="00DC1079"/>
    <w:rsid w:val="00DD5910"/>
    <w:rsid w:val="00E00FA9"/>
    <w:rsid w:val="00E7108D"/>
    <w:rsid w:val="00EB7658"/>
    <w:rsid w:val="00EE0093"/>
    <w:rsid w:val="00F10DA3"/>
    <w:rsid w:val="00F13BF9"/>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CA83-C56E-43C0-B465-11C33804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4436</Words>
  <Characters>25290</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4</cp:revision>
  <cp:lastPrinted>2020-06-15T07:49:00Z</cp:lastPrinted>
  <dcterms:created xsi:type="dcterms:W3CDTF">2020-08-03T08:12:00Z</dcterms:created>
  <dcterms:modified xsi:type="dcterms:W3CDTF">2020-08-03T08:47:00Z</dcterms:modified>
</cp:coreProperties>
</file>