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C338D3">
        <w:rPr>
          <w:rFonts w:ascii="Calibri" w:hAnsi="Calibri" w:cs="Calibri"/>
          <w:b/>
          <w:bCs/>
          <w:color w:val="auto"/>
          <w:sz w:val="28"/>
          <w:szCs w:val="28"/>
          <w:lang w:val="sk-SK"/>
        </w:rPr>
        <w:t>13</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w:t>
      </w:r>
      <w:r w:rsidR="00C338D3">
        <w:rPr>
          <w:rFonts w:ascii="Calibri" w:eastAsia="Arial" w:hAnsi="Calibri"/>
          <w:b/>
        </w:rPr>
        <w:t>20</w:t>
      </w:r>
      <w:r w:rsidR="008342F2">
        <w:rPr>
          <w:rFonts w:ascii="Calibri" w:eastAsia="Arial" w:hAnsi="Calibri"/>
          <w:b/>
        </w:rPr>
        <w:t>/20</w:t>
      </w:r>
      <w:r w:rsidR="00A945AB">
        <w:rPr>
          <w:rFonts w:ascii="Calibri" w:eastAsia="Arial" w:hAnsi="Calibri"/>
          <w:b/>
        </w:rPr>
        <w:t>2</w:t>
      </w:r>
      <w:r w:rsidR="00C338D3">
        <w:rPr>
          <w:rFonts w:ascii="Calibri" w:eastAsia="Arial" w:hAnsi="Calibri"/>
          <w:b/>
        </w:rPr>
        <w:t>1</w:t>
      </w:r>
      <w:r w:rsidR="00040724">
        <w:rPr>
          <w:rFonts w:ascii="Calibri" w:eastAsia="Arial" w:hAnsi="Calibri"/>
          <w:b/>
        </w:rPr>
        <w:t xml:space="preserve"> pre oblasť „Juh</w:t>
      </w:r>
      <w:r w:rsidR="008342F2">
        <w:rPr>
          <w:rFonts w:ascii="Calibri" w:eastAsia="Arial" w:hAnsi="Calibri"/>
          <w:b/>
        </w:rPr>
        <w:t xml:space="preserve">“ – výzva č. </w:t>
      </w:r>
      <w:r w:rsidR="00C338D3">
        <w:rPr>
          <w:rFonts w:ascii="Calibri" w:eastAsia="Arial" w:hAnsi="Calibri"/>
          <w:b/>
        </w:rPr>
        <w:t>13</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C338D3" w:rsidRDefault="00C338D3" w:rsidP="00F552BC">
      <w:pPr>
        <w:pStyle w:val="Default"/>
        <w:rPr>
          <w:rFonts w:ascii="Calibri" w:eastAsia="Arial" w:hAnsi="Calibri"/>
          <w:sz w:val="22"/>
          <w:szCs w:val="22"/>
        </w:rPr>
      </w:pPr>
    </w:p>
    <w:p w:rsidR="00C338D3" w:rsidRDefault="00C338D3" w:rsidP="00F552BC">
      <w:pPr>
        <w:pStyle w:val="Default"/>
        <w:rPr>
          <w:rFonts w:ascii="Calibri" w:eastAsia="Arial" w:hAnsi="Calibri"/>
          <w:sz w:val="22"/>
          <w:szCs w:val="22"/>
        </w:rPr>
      </w:pPr>
    </w:p>
    <w:p w:rsidR="00C338D3" w:rsidRDefault="00C338D3" w:rsidP="00F552BC">
      <w:pPr>
        <w:pStyle w:val="Default"/>
        <w:rPr>
          <w:rFonts w:ascii="Calibri" w:eastAsia="Arial" w:hAnsi="Calibri"/>
          <w:sz w:val="22"/>
          <w:szCs w:val="22"/>
        </w:rPr>
      </w:pPr>
    </w:p>
    <w:p w:rsidR="00C338D3" w:rsidRDefault="00C338D3" w:rsidP="00F552BC">
      <w:pPr>
        <w:pStyle w:val="Default"/>
        <w:rPr>
          <w:rFonts w:ascii="Calibri" w:eastAsia="Arial" w:hAnsi="Calibri"/>
          <w:sz w:val="22"/>
          <w:szCs w:val="22"/>
        </w:rPr>
      </w:pPr>
    </w:p>
    <w:p w:rsidR="00C338D3" w:rsidRDefault="00C338D3"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C338D3" w:rsidRDefault="00C338D3"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C338D3">
        <w:rPr>
          <w:rFonts w:ascii="Calibri" w:hAnsi="Calibri" w:cs="Calibri"/>
          <w:sz w:val="22"/>
          <w:szCs w:val="22"/>
        </w:rPr>
        <w:t>september</w:t>
      </w:r>
      <w:r w:rsidR="00A945AB">
        <w:rPr>
          <w:rFonts w:ascii="Calibri" w:hAnsi="Calibri" w:cs="Calibri"/>
          <w:sz w:val="22"/>
          <w:szCs w:val="22"/>
        </w:rPr>
        <w:t xml:space="preserve"> 20</w:t>
      </w:r>
      <w:r w:rsidR="00C338D3">
        <w:rPr>
          <w:rFonts w:ascii="Calibri" w:hAnsi="Calibri" w:cs="Calibri"/>
          <w:sz w:val="22"/>
          <w:szCs w:val="22"/>
        </w:rPr>
        <w:t>20</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Oktavcová,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C338D3">
        <w:rPr>
          <w:rFonts w:ascii="Calibri" w:hAnsi="Calibri" w:cs="Cambria"/>
          <w:sz w:val="22"/>
          <w:szCs w:val="22"/>
        </w:rPr>
        <w:t>5 880</w:t>
      </w:r>
      <w:r w:rsidR="00040724">
        <w:rPr>
          <w:rFonts w:ascii="Calibri" w:hAnsi="Calibri" w:cs="Cambria"/>
          <w:sz w:val="22"/>
          <w:szCs w:val="22"/>
        </w:rPr>
        <w:t xml:space="preserve">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C338D3">
        <w:rPr>
          <w:rFonts w:ascii="Calibri" w:hAnsi="Calibri" w:cs="Calibri"/>
          <w:b/>
          <w:sz w:val="22"/>
          <w:szCs w:val="22"/>
        </w:rPr>
        <w:t>413 437</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8C4BDE">
        <w:rPr>
          <w:rFonts w:ascii="Calibri" w:hAnsi="Calibri"/>
          <w:b/>
          <w:sz w:val="22"/>
          <w:szCs w:val="22"/>
        </w:rPr>
        <w:t>doručené do</w:t>
      </w:r>
      <w:r w:rsidR="00AF0849" w:rsidRPr="008C4BDE">
        <w:rPr>
          <w:rFonts w:ascii="Calibri" w:hAnsi="Calibri"/>
          <w:b/>
          <w:sz w:val="22"/>
          <w:szCs w:val="22"/>
        </w:rPr>
        <w:t xml:space="preserve"> </w:t>
      </w:r>
      <w:r w:rsidR="00FE03FC" w:rsidRPr="008C4BDE">
        <w:rPr>
          <w:rFonts w:ascii="Calibri" w:hAnsi="Calibri"/>
          <w:b/>
          <w:sz w:val="22"/>
          <w:szCs w:val="22"/>
        </w:rPr>
        <w:t>12.10</w:t>
      </w:r>
      <w:r w:rsidR="002E27FF" w:rsidRPr="008C4BDE">
        <w:rPr>
          <w:rFonts w:ascii="Calibri" w:hAnsi="Calibri"/>
          <w:b/>
          <w:sz w:val="22"/>
          <w:szCs w:val="22"/>
        </w:rPr>
        <w:t>.20</w:t>
      </w:r>
      <w:r w:rsidR="00C338D3" w:rsidRPr="008C4BDE">
        <w:rPr>
          <w:rFonts w:ascii="Calibri" w:hAnsi="Calibri"/>
          <w:b/>
          <w:sz w:val="22"/>
          <w:szCs w:val="22"/>
        </w:rPr>
        <w:t>20</w:t>
      </w:r>
      <w:r w:rsidR="00AF0849" w:rsidRPr="00DF331B">
        <w:rPr>
          <w:rFonts w:ascii="Calibri" w:hAnsi="Calibri"/>
          <w:b/>
          <w:sz w:val="22"/>
          <w:szCs w:val="22"/>
        </w:rPr>
        <w:t xml:space="preserve"> do </w:t>
      </w:r>
      <w:r w:rsidR="00F84091">
        <w:rPr>
          <w:rFonts w:ascii="Calibri" w:hAnsi="Calibri"/>
          <w:b/>
          <w:sz w:val="22"/>
          <w:szCs w:val="22"/>
        </w:rPr>
        <w:t>09</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bookmarkStart w:id="17" w:name="_GoBack"/>
      <w:bookmarkEnd w:id="17"/>
      <w:r w:rsidR="00B07F4B" w:rsidRPr="008C4BDE">
        <w:rPr>
          <w:rFonts w:ascii="Calibri" w:eastAsia="TimesNewRomanPSMT" w:hAnsi="Calibri"/>
          <w:color w:val="000000"/>
          <w:sz w:val="22"/>
          <w:szCs w:val="22"/>
        </w:rPr>
        <w:t>dňa</w:t>
      </w:r>
      <w:r w:rsidR="000F4F40" w:rsidRPr="008C4BDE">
        <w:rPr>
          <w:rFonts w:ascii="Calibri" w:eastAsia="TimesNewRomanPSMT" w:hAnsi="Calibri"/>
          <w:color w:val="000000"/>
          <w:sz w:val="22"/>
          <w:szCs w:val="22"/>
        </w:rPr>
        <w:t xml:space="preserve">  </w:t>
      </w:r>
      <w:r w:rsidR="00FE03FC" w:rsidRPr="008C4BDE">
        <w:rPr>
          <w:rFonts w:ascii="Calibri" w:eastAsia="TimesNewRomanPSMT" w:hAnsi="Calibri"/>
          <w:b/>
          <w:color w:val="000000"/>
          <w:sz w:val="22"/>
          <w:szCs w:val="22"/>
        </w:rPr>
        <w:t>12.10</w:t>
      </w:r>
      <w:r w:rsidR="002E27FF" w:rsidRPr="008C4BDE">
        <w:rPr>
          <w:rFonts w:ascii="Calibri" w:eastAsia="TimesNewRomanPSMT" w:hAnsi="Calibri"/>
          <w:b/>
          <w:color w:val="000000"/>
          <w:sz w:val="22"/>
          <w:szCs w:val="22"/>
        </w:rPr>
        <w:t>.</w:t>
      </w:r>
      <w:r w:rsidR="004035F6" w:rsidRPr="008C4BDE">
        <w:rPr>
          <w:rFonts w:ascii="Calibri" w:eastAsia="TimesNewRomanPSMT" w:hAnsi="Calibri"/>
          <w:b/>
          <w:color w:val="000000"/>
          <w:sz w:val="22"/>
          <w:szCs w:val="22"/>
        </w:rPr>
        <w:t>20</w:t>
      </w:r>
      <w:r w:rsidR="00C338D3" w:rsidRPr="008C4BDE">
        <w:rPr>
          <w:rFonts w:ascii="Calibri" w:eastAsia="TimesNewRomanPSMT" w:hAnsi="Calibri"/>
          <w:b/>
          <w:color w:val="000000"/>
          <w:sz w:val="22"/>
          <w:szCs w:val="22"/>
        </w:rPr>
        <w:t>20</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A707D5">
        <w:rPr>
          <w:rFonts w:ascii="Calibri" w:hAnsi="Calibri" w:cs="Calibri"/>
          <w:bCs/>
          <w:sz w:val="22"/>
          <w:szCs w:val="22"/>
        </w:rPr>
        <w:t xml:space="preserve">ceny </w:t>
      </w:r>
      <w:r w:rsidR="00A707D5" w:rsidRPr="00BC0526">
        <w:rPr>
          <w:rFonts w:ascii="Calibri" w:hAnsi="Calibri" w:cs="Calibri"/>
          <w:bCs/>
          <w:sz w:val="22"/>
          <w:szCs w:val="22"/>
        </w:rPr>
        <w:t>za jednu (1) tonu posypovej soli v EUR bez DPH</w:t>
      </w:r>
      <w:r w:rsidRPr="004A26C4">
        <w:rPr>
          <w:rFonts w:ascii="Calibri" w:hAnsi="Calibri" w:cs="Calibri"/>
          <w:sz w:val="22"/>
          <w:szCs w:val="22"/>
        </w:rPr>
        <w:t>. 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8B" w:rsidRDefault="001C338B">
      <w:r>
        <w:separator/>
      </w:r>
    </w:p>
  </w:endnote>
  <w:endnote w:type="continuationSeparator" w:id="0">
    <w:p w:rsidR="001C338B" w:rsidRDefault="001C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C338D3">
      <w:rPr>
        <w:rFonts w:ascii="Calibri" w:hAnsi="Calibri" w:cs="Arial"/>
        <w:sz w:val="18"/>
      </w:rPr>
      <w:t>13</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w:t>
    </w:r>
    <w:r w:rsidR="00C338D3">
      <w:rPr>
        <w:rFonts w:ascii="Calibri" w:hAnsi="Calibri" w:cs="Arial"/>
        <w:sz w:val="18"/>
      </w:rPr>
      <w:t>20</w:t>
    </w:r>
    <w:r w:rsidRPr="00861D7B">
      <w:rPr>
        <w:rFonts w:ascii="Calibri" w:hAnsi="Calibri" w:cs="Arial"/>
        <w:sz w:val="18"/>
      </w:rPr>
      <w:t>/20</w:t>
    </w:r>
    <w:r w:rsidR="004035F6">
      <w:rPr>
        <w:rFonts w:ascii="Calibri" w:hAnsi="Calibri" w:cs="Arial"/>
        <w:sz w:val="18"/>
      </w:rPr>
      <w:t>2</w:t>
    </w:r>
    <w:r w:rsidR="00C338D3">
      <w:rPr>
        <w:rFonts w:ascii="Calibri" w:hAnsi="Calibri" w:cs="Arial"/>
        <w:sz w:val="18"/>
      </w:rPr>
      <w:t>1</w:t>
    </w:r>
    <w:r w:rsidR="00040724">
      <w:rPr>
        <w:rFonts w:ascii="Calibri" w:hAnsi="Calibri" w:cs="Arial"/>
        <w:sz w:val="18"/>
      </w:rPr>
      <w:t xml:space="preserve"> pre oblasť „Juh</w:t>
    </w:r>
    <w:r w:rsidRPr="00861D7B">
      <w:rPr>
        <w:rFonts w:ascii="Calibri" w:hAnsi="Calibri" w:cs="Arial"/>
        <w:sz w:val="18"/>
      </w:rPr>
      <w:t xml:space="preserve">“ – výzva č. </w:t>
    </w:r>
    <w:r w:rsidR="00C338D3">
      <w:rPr>
        <w:rFonts w:ascii="Calibri" w:hAnsi="Calibri" w:cs="Arial"/>
        <w:sz w:val="18"/>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8B" w:rsidRDefault="001C338B">
      <w:r>
        <w:separator/>
      </w:r>
    </w:p>
  </w:footnote>
  <w:footnote w:type="continuationSeparator" w:id="0">
    <w:p w:rsidR="001C338B" w:rsidRDefault="001C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C338D3">
      <w:rPr>
        <w:rFonts w:ascii="Calibri" w:hAnsi="Calibri"/>
        <w:lang w:val="sk-SK"/>
      </w:rPr>
      <w:t>13</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62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724"/>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1960"/>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38B"/>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4BDE"/>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417A"/>
    <w:rsid w:val="0090430F"/>
    <w:rsid w:val="009048FE"/>
    <w:rsid w:val="00904A92"/>
    <w:rsid w:val="00904FFA"/>
    <w:rsid w:val="009050A0"/>
    <w:rsid w:val="00905B6D"/>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2B6"/>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07D5"/>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6E1B"/>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395"/>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8D3"/>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72F7"/>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175C3"/>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95C"/>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091"/>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3FC"/>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FE58-5FF5-4618-984D-849E2209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TotalTime>
  <Pages>9</Pages>
  <Words>3522</Words>
  <Characters>20077</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23552</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cp:lastModifiedBy>Fekiačová Jana</cp:lastModifiedBy>
  <cp:revision>6</cp:revision>
  <cp:lastPrinted>2018-02-02T18:05:00Z</cp:lastPrinted>
  <dcterms:created xsi:type="dcterms:W3CDTF">2020-09-10T08:46:00Z</dcterms:created>
  <dcterms:modified xsi:type="dcterms:W3CDTF">2020-09-30T07:26:00Z</dcterms:modified>
</cp:coreProperties>
</file>