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9D2" w:rsidRPr="002F7D88" w:rsidRDefault="005709D2" w:rsidP="00636365">
      <w:pPr>
        <w:jc w:val="center"/>
        <w:rPr>
          <w:b/>
          <w:bCs/>
        </w:rPr>
      </w:pPr>
    </w:p>
    <w:p w:rsidR="00145A6F" w:rsidRPr="002F7D88" w:rsidRDefault="002306B7" w:rsidP="003A41D6">
      <w:pPr>
        <w:spacing w:after="120"/>
        <w:jc w:val="center"/>
        <w:rPr>
          <w:b/>
          <w:bCs/>
        </w:rPr>
      </w:pPr>
      <w:r w:rsidRPr="002F7D88">
        <w:rPr>
          <w:b/>
          <w:bCs/>
        </w:rPr>
        <w:t>Kúpna zmluva</w:t>
      </w:r>
      <w:r w:rsidR="00B075C9" w:rsidRPr="002F7D88">
        <w:rPr>
          <w:b/>
          <w:bCs/>
        </w:rPr>
        <w:t xml:space="preserve"> </w:t>
      </w:r>
      <w:r w:rsidR="00BA6A3F">
        <w:rPr>
          <w:b/>
          <w:bCs/>
        </w:rPr>
        <w:t xml:space="preserve">DNS č. </w:t>
      </w:r>
      <w:r w:rsidR="00FE721C">
        <w:rPr>
          <w:b/>
          <w:bCs/>
        </w:rPr>
        <w:t>3</w:t>
      </w:r>
    </w:p>
    <w:p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w:t>
      </w:r>
      <w:bookmarkStart w:id="0" w:name="_GoBack"/>
      <w:bookmarkEnd w:id="0"/>
      <w:r w:rsidR="00F44E93" w:rsidRPr="002F7D88">
        <w:t>o verejnom obstarávaní a o zmene a doplnení niektorých zákonov (ďalej v texte tiež ako „</w:t>
      </w:r>
      <w:r w:rsidR="00F44E93" w:rsidRPr="003A41D6">
        <w:rPr>
          <w:b/>
          <w:bCs/>
        </w:rPr>
        <w:t>zákon o verejnom obstarávaní</w:t>
      </w:r>
      <w:r w:rsidR="00F44E93" w:rsidRPr="002F7D88">
        <w:t>“)</w:t>
      </w:r>
    </w:p>
    <w:p w:rsidR="00145A6F" w:rsidRDefault="00EC4CAB" w:rsidP="003A41D6">
      <w:pPr>
        <w:spacing w:after="120"/>
        <w:jc w:val="center"/>
      </w:pPr>
      <w:r>
        <w:t>(ďalej len „</w:t>
      </w:r>
      <w:r w:rsidRPr="003A41D6">
        <w:rPr>
          <w:b/>
          <w:bCs/>
        </w:rPr>
        <w:t>zmluva</w:t>
      </w:r>
      <w:r>
        <w:t>“)</w:t>
      </w:r>
    </w:p>
    <w:p w:rsidR="00EC4CAB" w:rsidRDefault="00EC4CAB" w:rsidP="00636365">
      <w:pPr>
        <w:jc w:val="center"/>
      </w:pPr>
    </w:p>
    <w:p w:rsidR="00B444BA" w:rsidRPr="002F7D88" w:rsidRDefault="00B444BA" w:rsidP="00636365">
      <w:pPr>
        <w:jc w:val="center"/>
      </w:pPr>
    </w:p>
    <w:p w:rsidR="00145A6F" w:rsidRDefault="00145A6F" w:rsidP="00636365">
      <w:pPr>
        <w:jc w:val="center"/>
      </w:pPr>
      <w:r w:rsidRPr="002F7D88">
        <w:t>medzi zmluvnými stranami:</w:t>
      </w:r>
    </w:p>
    <w:p w:rsidR="00B444BA" w:rsidRDefault="00B444BA" w:rsidP="00636365">
      <w:pPr>
        <w:jc w:val="center"/>
      </w:pPr>
    </w:p>
    <w:p w:rsidR="00B444BA" w:rsidRPr="002F7D88" w:rsidRDefault="00B444BA" w:rsidP="00636365">
      <w:pPr>
        <w:jc w:val="center"/>
      </w:pPr>
    </w:p>
    <w:p w:rsidR="007161D6" w:rsidRPr="002F7D88" w:rsidRDefault="007161D6" w:rsidP="00636365">
      <w:pPr>
        <w:jc w:val="both"/>
        <w:rPr>
          <w:b/>
        </w:rPr>
      </w:pPr>
    </w:p>
    <w:p w:rsidR="00145A6F" w:rsidRPr="002F7D88" w:rsidRDefault="00145A6F" w:rsidP="00636365">
      <w:pPr>
        <w:jc w:val="both"/>
        <w:rPr>
          <w:b/>
        </w:rPr>
      </w:pPr>
      <w:r w:rsidRPr="002F7D88">
        <w:rPr>
          <w:b/>
        </w:rPr>
        <w:t>Predávajúci:</w:t>
      </w:r>
    </w:p>
    <w:p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Bankové spojenie:</w:t>
      </w:r>
      <w:r w:rsidR="005709D2" w:rsidRPr="002F7D88">
        <w:tab/>
      </w:r>
      <w:r w:rsidR="005709D2" w:rsidRPr="002F7D88">
        <w:tab/>
      </w:r>
    </w:p>
    <w:p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rsidR="00BB7281" w:rsidRDefault="00BB7281" w:rsidP="00636365">
      <w:pPr>
        <w:jc w:val="both"/>
      </w:pPr>
      <w:r>
        <w:t>Registrácia:</w:t>
      </w:r>
      <w:r>
        <w:tab/>
      </w:r>
      <w:r>
        <w:tab/>
      </w:r>
      <w:r>
        <w:tab/>
      </w:r>
    </w:p>
    <w:p w:rsidR="00BB7281" w:rsidRDefault="00BB7281" w:rsidP="00636365">
      <w:pPr>
        <w:jc w:val="both"/>
      </w:pPr>
      <w:r>
        <w:t>Konajúci prostredníctvom:</w:t>
      </w:r>
      <w:r>
        <w:tab/>
      </w:r>
    </w:p>
    <w:p w:rsidR="00BB7281" w:rsidRDefault="00BB7281" w:rsidP="00636365">
      <w:pPr>
        <w:jc w:val="both"/>
      </w:pPr>
      <w:r>
        <w:t>Telefónny kontakt:</w:t>
      </w:r>
      <w:r>
        <w:tab/>
      </w:r>
      <w:r>
        <w:tab/>
      </w:r>
    </w:p>
    <w:p w:rsidR="00BB7281" w:rsidRPr="002F7D88" w:rsidRDefault="00BB7281" w:rsidP="00636365">
      <w:pPr>
        <w:jc w:val="both"/>
      </w:pPr>
      <w:r>
        <w:t>E-mail:</w:t>
      </w:r>
      <w:r>
        <w:tab/>
      </w:r>
      <w:r>
        <w:tab/>
      </w:r>
      <w:r>
        <w:tab/>
      </w:r>
    </w:p>
    <w:p w:rsidR="00EC4CAB" w:rsidRDefault="007161D6" w:rsidP="00BB7281">
      <w:pPr>
        <w:spacing w:after="120"/>
        <w:jc w:val="both"/>
      </w:pPr>
      <w:r w:rsidRPr="002F7D88">
        <w:t>(ďalej v texte tiež ako „</w:t>
      </w:r>
      <w:r w:rsidRPr="00BB7281">
        <w:rPr>
          <w:b/>
          <w:bCs/>
          <w:iCs/>
        </w:rPr>
        <w:t>Predávajúci</w:t>
      </w:r>
      <w:r w:rsidRPr="002F7D88">
        <w:t>“)</w:t>
      </w:r>
    </w:p>
    <w:p w:rsidR="00145A6F" w:rsidRDefault="00145A6F" w:rsidP="00BB7281">
      <w:pPr>
        <w:spacing w:after="120"/>
        <w:jc w:val="both"/>
      </w:pPr>
      <w:r w:rsidRPr="002F7D88">
        <w:t>a</w:t>
      </w:r>
    </w:p>
    <w:p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Bankové spojenie:</w:t>
      </w:r>
      <w:r w:rsidR="005709D2" w:rsidRPr="002F7D88">
        <w:tab/>
      </w:r>
      <w:r w:rsidR="005154D5">
        <w:t>Štátna pokladňa</w:t>
      </w:r>
      <w:r w:rsidR="005709D2" w:rsidRPr="002F7D88">
        <w:tab/>
      </w:r>
    </w:p>
    <w:p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rsidR="00BB7281" w:rsidRDefault="00BB7281" w:rsidP="00636365">
      <w:pPr>
        <w:jc w:val="both"/>
      </w:pPr>
      <w:r>
        <w:t>Telefónny kontakt:</w:t>
      </w:r>
      <w:r>
        <w:tab/>
      </w:r>
      <w:r w:rsidR="005154D5">
        <w:t>+421327400</w:t>
      </w:r>
      <w:r w:rsidR="00A01467">
        <w:t>...</w:t>
      </w:r>
      <w:r>
        <w:tab/>
      </w:r>
    </w:p>
    <w:p w:rsidR="00BB7281" w:rsidRPr="002F7D88" w:rsidRDefault="00BB7281" w:rsidP="00636365">
      <w:pPr>
        <w:jc w:val="both"/>
      </w:pPr>
      <w:r>
        <w:t>E-mail:</w:t>
      </w:r>
      <w:r>
        <w:tab/>
      </w:r>
      <w:r>
        <w:tab/>
      </w:r>
      <w:r w:rsidR="00A01467">
        <w:t>......................</w:t>
      </w:r>
      <w:r w:rsidR="005154D5">
        <w:t>@tnuni.sk</w:t>
      </w:r>
      <w:r>
        <w:tab/>
      </w:r>
    </w:p>
    <w:p w:rsidR="00EB6F92" w:rsidRPr="002F7D88" w:rsidRDefault="00EB6F92" w:rsidP="00636365">
      <w:pPr>
        <w:jc w:val="both"/>
      </w:pPr>
      <w:r w:rsidRPr="002F7D88">
        <w:t>(ďalej v texte tiež ako „</w:t>
      </w:r>
      <w:r w:rsidRPr="00BB7281">
        <w:rPr>
          <w:b/>
          <w:bCs/>
          <w:iCs/>
        </w:rPr>
        <w:t>Kupujúci</w:t>
      </w:r>
      <w:r w:rsidRPr="002F7D88">
        <w:t>“)</w:t>
      </w:r>
    </w:p>
    <w:p w:rsidR="00EC4CAB" w:rsidRDefault="00EC4CAB" w:rsidP="00636365">
      <w:pPr>
        <w:jc w:val="both"/>
      </w:pPr>
    </w:p>
    <w:p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rsidR="00497B35" w:rsidRDefault="00497B35"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Pr="002F7D88" w:rsidRDefault="00B444BA" w:rsidP="00636365">
      <w:pPr>
        <w:jc w:val="both"/>
        <w:rPr>
          <w:b/>
        </w:rPr>
      </w:pPr>
    </w:p>
    <w:p w:rsidR="00145A6F" w:rsidRPr="002F7D88" w:rsidRDefault="00145A6F" w:rsidP="00636365">
      <w:pPr>
        <w:jc w:val="center"/>
        <w:rPr>
          <w:b/>
        </w:rPr>
      </w:pPr>
      <w:r w:rsidRPr="002F7D88">
        <w:rPr>
          <w:b/>
        </w:rPr>
        <w:lastRenderedPageBreak/>
        <w:t>Článok I.</w:t>
      </w:r>
    </w:p>
    <w:p w:rsidR="00145A6F" w:rsidRPr="002F7D88" w:rsidRDefault="00145A6F" w:rsidP="00636365">
      <w:pPr>
        <w:jc w:val="center"/>
        <w:rPr>
          <w:b/>
        </w:rPr>
      </w:pPr>
      <w:r w:rsidRPr="002F7D88">
        <w:rPr>
          <w:b/>
        </w:rPr>
        <w:t>Úvodné ustanovenie</w:t>
      </w:r>
    </w:p>
    <w:p w:rsidR="00145A6F" w:rsidRPr="002F7D88" w:rsidRDefault="00145A6F" w:rsidP="00636365">
      <w:pPr>
        <w:jc w:val="both"/>
      </w:pPr>
    </w:p>
    <w:p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rsidR="00B03B98" w:rsidRDefault="00B03B98" w:rsidP="00B03B98">
      <w:pPr>
        <w:pStyle w:val="Odsekzoznamu"/>
        <w:ind w:left="426"/>
        <w:jc w:val="both"/>
      </w:pPr>
    </w:p>
    <w:p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rsidR="007161D6" w:rsidRDefault="007161D6" w:rsidP="00636365">
      <w:pPr>
        <w:jc w:val="both"/>
      </w:pPr>
    </w:p>
    <w:p w:rsidR="00B444BA" w:rsidRPr="002F7D88" w:rsidRDefault="00B444BA" w:rsidP="00636365">
      <w:pPr>
        <w:jc w:val="both"/>
      </w:pPr>
    </w:p>
    <w:p w:rsidR="00B20672" w:rsidRPr="002F7D88" w:rsidRDefault="00B20672" w:rsidP="00636365">
      <w:pPr>
        <w:jc w:val="center"/>
        <w:rPr>
          <w:b/>
        </w:rPr>
      </w:pPr>
      <w:r w:rsidRPr="002F7D88">
        <w:rPr>
          <w:b/>
        </w:rPr>
        <w:t>Článok II.</w:t>
      </w:r>
    </w:p>
    <w:p w:rsidR="00B20672" w:rsidRPr="002F7D88" w:rsidRDefault="00B20672" w:rsidP="00636365">
      <w:pPr>
        <w:jc w:val="center"/>
        <w:rPr>
          <w:b/>
        </w:rPr>
      </w:pPr>
      <w:r w:rsidRPr="002F7D88">
        <w:rPr>
          <w:b/>
        </w:rPr>
        <w:t>Predmet zmluvy</w:t>
      </w:r>
    </w:p>
    <w:p w:rsidR="00B20672" w:rsidRPr="002F7D88" w:rsidRDefault="00B20672" w:rsidP="00636365">
      <w:pPr>
        <w:jc w:val="both"/>
      </w:pPr>
    </w:p>
    <w:p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rsidR="008F7AC4" w:rsidRPr="002F7D88" w:rsidRDefault="008F7AC4" w:rsidP="00C663F2">
      <w:pPr>
        <w:pStyle w:val="Odsekzoznamu"/>
        <w:ind w:left="426"/>
        <w:jc w:val="both"/>
      </w:pPr>
    </w:p>
    <w:p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1" w:name="_Hlk15995472"/>
      <w:r w:rsidR="00233823" w:rsidRPr="002F7D88">
        <w:t> </w:t>
      </w:r>
      <w:bookmarkEnd w:id="1"/>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rsidR="005A0C9F" w:rsidRDefault="005A0C9F" w:rsidP="00636365">
      <w:pPr>
        <w:jc w:val="both"/>
        <w:rPr>
          <w:b/>
        </w:rPr>
      </w:pPr>
    </w:p>
    <w:p w:rsidR="00B444BA" w:rsidRPr="002F7D88" w:rsidRDefault="00B444BA" w:rsidP="00636365">
      <w:pPr>
        <w:jc w:val="both"/>
        <w:rPr>
          <w:b/>
        </w:rPr>
      </w:pPr>
    </w:p>
    <w:p w:rsidR="00AE6613" w:rsidRPr="002F7D88" w:rsidRDefault="00AE6613" w:rsidP="00636365">
      <w:pPr>
        <w:jc w:val="center"/>
        <w:rPr>
          <w:b/>
        </w:rPr>
      </w:pPr>
      <w:r w:rsidRPr="002F7D88">
        <w:rPr>
          <w:b/>
        </w:rPr>
        <w:t xml:space="preserve">Článok </w:t>
      </w:r>
      <w:r w:rsidR="00497B35" w:rsidRPr="002F7D88">
        <w:rPr>
          <w:b/>
        </w:rPr>
        <w:t>III.</w:t>
      </w:r>
    </w:p>
    <w:p w:rsidR="00AE6613" w:rsidRPr="002F7D88" w:rsidRDefault="00332343" w:rsidP="00636365">
      <w:pPr>
        <w:jc w:val="center"/>
        <w:rPr>
          <w:b/>
        </w:rPr>
      </w:pPr>
      <w:r w:rsidRPr="002F7D88">
        <w:rPr>
          <w:b/>
        </w:rPr>
        <w:t>Dodacie podmienky, termín, miesto</w:t>
      </w:r>
    </w:p>
    <w:p w:rsidR="00AE6613" w:rsidRPr="002F7D88" w:rsidRDefault="00AE6613" w:rsidP="00636365">
      <w:pPr>
        <w:jc w:val="both"/>
      </w:pPr>
    </w:p>
    <w:p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4A0CCD" w:rsidRPr="004A0CCD">
        <w:rPr>
          <w:bCs/>
          <w:sz w:val="22"/>
        </w:rPr>
        <w:t>15</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rsidR="00E07F5C" w:rsidRPr="002F7D88" w:rsidRDefault="00E07F5C" w:rsidP="00636365">
      <w:pPr>
        <w:pStyle w:val="Odsekzoznamu"/>
        <w:ind w:left="284" w:hanging="284"/>
        <w:jc w:val="both"/>
      </w:pPr>
    </w:p>
    <w:p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rsidR="00FC2DA8" w:rsidRPr="002F7D88" w:rsidRDefault="00FC2DA8" w:rsidP="00636365">
      <w:pPr>
        <w:jc w:val="both"/>
      </w:pPr>
    </w:p>
    <w:p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rsidR="00FC2DA8" w:rsidRPr="002F7D88" w:rsidRDefault="00FC2DA8" w:rsidP="00636365">
      <w:pPr>
        <w:jc w:val="both"/>
      </w:pPr>
    </w:p>
    <w:p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rsidR="00F2028D" w:rsidRDefault="00F2028D" w:rsidP="00F2028D">
      <w:pPr>
        <w:pStyle w:val="Odsekzoznamu"/>
        <w:ind w:left="426"/>
        <w:jc w:val="both"/>
      </w:pPr>
    </w:p>
    <w:p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rsidR="00E814B7" w:rsidRPr="002F7D88" w:rsidRDefault="00E814B7" w:rsidP="00636365">
      <w:pPr>
        <w:jc w:val="both"/>
      </w:pPr>
    </w:p>
    <w:p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rsidR="00FC2DA8" w:rsidRPr="002F7D88" w:rsidRDefault="00FC2DA8" w:rsidP="00636365">
      <w:pPr>
        <w:jc w:val="both"/>
      </w:pPr>
    </w:p>
    <w:p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rsidR="00E07F5C" w:rsidRPr="002F7D88" w:rsidRDefault="00E07F5C" w:rsidP="00636365">
      <w:pPr>
        <w:jc w:val="both"/>
      </w:pPr>
    </w:p>
    <w:p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rsidR="00E07F5C" w:rsidRPr="002F7D88" w:rsidRDefault="00E07F5C" w:rsidP="00636365">
      <w:pPr>
        <w:jc w:val="both"/>
      </w:pPr>
    </w:p>
    <w:p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rsidR="00CE4A6F" w:rsidRDefault="00CE4A6F" w:rsidP="00636365">
      <w:pPr>
        <w:pStyle w:val="Odsekzoznamu"/>
        <w:ind w:left="567"/>
        <w:jc w:val="both"/>
      </w:pPr>
    </w:p>
    <w:p w:rsidR="00B444BA" w:rsidRPr="002F7D88" w:rsidRDefault="00B444BA" w:rsidP="00636365">
      <w:pPr>
        <w:pStyle w:val="Odsekzoznamu"/>
        <w:ind w:left="567"/>
        <w:jc w:val="both"/>
      </w:pPr>
    </w:p>
    <w:p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rsidR="00A413DC" w:rsidRPr="002F7D88" w:rsidRDefault="00A413DC" w:rsidP="00636365">
      <w:pPr>
        <w:pStyle w:val="Odsekzoznamu"/>
        <w:ind w:left="0"/>
        <w:jc w:val="both"/>
        <w:rPr>
          <w:b/>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rsidR="006B7D0A" w:rsidRPr="002F7D88" w:rsidRDefault="006B7D0A" w:rsidP="00636365">
      <w:pPr>
        <w:pStyle w:val="Odsekzoznamu"/>
        <w:jc w:val="both"/>
        <w:rPr>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rsidR="006B7D0A" w:rsidRPr="002F7D88" w:rsidRDefault="006B7D0A" w:rsidP="00636365">
      <w:pPr>
        <w:pStyle w:val="Odsekzoznamu"/>
        <w:jc w:val="both"/>
        <w:rPr>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rsidR="00173C7C" w:rsidRPr="002F7D88" w:rsidRDefault="00173C7C" w:rsidP="00636365">
      <w:pPr>
        <w:ind w:left="708"/>
        <w:jc w:val="both"/>
        <w:rPr>
          <w:color w:val="000000"/>
        </w:rPr>
      </w:pPr>
    </w:p>
    <w:p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rsidR="006B7D0A" w:rsidRPr="002F7D88" w:rsidRDefault="006B7D0A" w:rsidP="00636365">
      <w:pPr>
        <w:pStyle w:val="Odsekzoznamu"/>
        <w:jc w:val="both"/>
        <w:rPr>
          <w:color w:val="000000"/>
        </w:rPr>
      </w:pPr>
    </w:p>
    <w:p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rsidR="00733E36" w:rsidRDefault="00733E36" w:rsidP="0062687A">
      <w:pPr>
        <w:jc w:val="both"/>
        <w:rPr>
          <w:color w:val="000000"/>
        </w:rPr>
      </w:pPr>
    </w:p>
    <w:p w:rsidR="00B444BA" w:rsidRDefault="00B444BA" w:rsidP="0062687A">
      <w:pPr>
        <w:jc w:val="both"/>
        <w:rPr>
          <w:color w:val="000000"/>
        </w:rPr>
      </w:pPr>
    </w:p>
    <w:p w:rsidR="00B444BA" w:rsidRDefault="00B444BA" w:rsidP="0062687A">
      <w:pPr>
        <w:jc w:val="both"/>
        <w:rPr>
          <w:color w:val="000000"/>
        </w:rPr>
      </w:pPr>
    </w:p>
    <w:p w:rsidR="00B444BA" w:rsidRDefault="00B444BA" w:rsidP="0062687A">
      <w:pPr>
        <w:jc w:val="both"/>
        <w:rPr>
          <w:color w:val="000000"/>
        </w:rPr>
      </w:pPr>
    </w:p>
    <w:p w:rsidR="00B444BA" w:rsidRPr="0062687A" w:rsidRDefault="00B444BA" w:rsidP="0062687A">
      <w:pPr>
        <w:jc w:val="both"/>
        <w:rPr>
          <w:color w:val="000000"/>
        </w:rPr>
      </w:pPr>
    </w:p>
    <w:p w:rsidR="00A413DC" w:rsidRPr="002F7D88" w:rsidRDefault="00A413DC" w:rsidP="00636365">
      <w:pPr>
        <w:pStyle w:val="Odsekzoznamu"/>
        <w:ind w:left="0"/>
        <w:jc w:val="both"/>
        <w:rPr>
          <w:b/>
          <w:color w:val="000000"/>
        </w:rPr>
      </w:pPr>
    </w:p>
    <w:p w:rsidR="00076651" w:rsidRPr="002F7D88" w:rsidRDefault="00076651" w:rsidP="00636365">
      <w:pPr>
        <w:pStyle w:val="Odsekzoznamu"/>
        <w:ind w:left="0"/>
        <w:jc w:val="center"/>
        <w:rPr>
          <w:b/>
          <w:color w:val="000000"/>
        </w:rPr>
      </w:pPr>
      <w:r w:rsidRPr="002F7D88">
        <w:rPr>
          <w:b/>
          <w:color w:val="000000"/>
        </w:rPr>
        <w:t>Článok V.</w:t>
      </w:r>
    </w:p>
    <w:p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rsidR="00076651" w:rsidRPr="002F7D88" w:rsidRDefault="00076651" w:rsidP="00636365">
      <w:pPr>
        <w:pStyle w:val="Odsekzoznamu"/>
        <w:ind w:left="0"/>
        <w:jc w:val="both"/>
        <w:rPr>
          <w:b/>
          <w:color w:val="000000"/>
        </w:rPr>
      </w:pPr>
    </w:p>
    <w:p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 xml:space="preserve">mesiacov </w:t>
      </w:r>
      <w:r>
        <w:rPr>
          <w:color w:val="000000"/>
        </w:rPr>
        <w:t xml:space="preserve">a začína plynúť </w:t>
      </w:r>
      <w:r w:rsidRPr="002F7D88">
        <w:rPr>
          <w:color w:val="000000"/>
        </w:rPr>
        <w:t>odo dňa dodania predmetu kúpy.</w:t>
      </w:r>
    </w:p>
    <w:p w:rsidR="003D2252" w:rsidRDefault="003D2252" w:rsidP="0062687A">
      <w:pPr>
        <w:pStyle w:val="Odsekzoznamu"/>
        <w:ind w:left="426"/>
        <w:jc w:val="both"/>
        <w:rPr>
          <w:color w:val="000000"/>
        </w:rPr>
      </w:pPr>
    </w:p>
    <w:p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rsidR="006B7D0A" w:rsidRPr="002F7D88" w:rsidRDefault="006B7D0A" w:rsidP="00636365">
      <w:pPr>
        <w:pStyle w:val="Odsekzoznamu"/>
        <w:ind w:left="709"/>
        <w:jc w:val="both"/>
        <w:rPr>
          <w:color w:val="000000"/>
        </w:rPr>
      </w:pPr>
    </w:p>
    <w:p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rsidR="006B7D0A" w:rsidRPr="002F7D88" w:rsidRDefault="006B7D0A" w:rsidP="00636365">
      <w:pPr>
        <w:pStyle w:val="Odsekzoznamu"/>
        <w:ind w:left="709"/>
        <w:jc w:val="both"/>
        <w:rPr>
          <w:color w:val="000000"/>
        </w:rPr>
      </w:pPr>
    </w:p>
    <w:p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rsidR="006B7D0A" w:rsidRPr="002F7D88" w:rsidRDefault="006B7D0A" w:rsidP="00636365">
      <w:pPr>
        <w:pStyle w:val="Odsekzoznamu"/>
        <w:ind w:left="709"/>
        <w:jc w:val="both"/>
        <w:rPr>
          <w:color w:val="000000"/>
        </w:rPr>
      </w:pPr>
    </w:p>
    <w:p w:rsidR="00A01467" w:rsidRDefault="00A01467" w:rsidP="00636365">
      <w:pPr>
        <w:pStyle w:val="Odsekzoznamu"/>
        <w:ind w:left="0"/>
        <w:jc w:val="center"/>
        <w:rPr>
          <w:b/>
          <w:color w:val="000000"/>
        </w:rPr>
      </w:pPr>
    </w:p>
    <w:p w:rsidR="00076651" w:rsidRPr="002F7D88" w:rsidRDefault="00076651" w:rsidP="00636365">
      <w:pPr>
        <w:pStyle w:val="Odsekzoznamu"/>
        <w:ind w:left="0"/>
        <w:jc w:val="center"/>
        <w:rPr>
          <w:b/>
          <w:color w:val="000000"/>
        </w:rPr>
      </w:pPr>
      <w:r w:rsidRPr="002F7D88">
        <w:rPr>
          <w:b/>
          <w:color w:val="000000"/>
        </w:rPr>
        <w:t>Článok VI.</w:t>
      </w:r>
    </w:p>
    <w:p w:rsidR="00076651" w:rsidRPr="002F7D88" w:rsidRDefault="00076651" w:rsidP="00636365">
      <w:pPr>
        <w:pStyle w:val="Odsekzoznamu"/>
        <w:ind w:left="0"/>
        <w:jc w:val="center"/>
        <w:rPr>
          <w:b/>
          <w:color w:val="000000"/>
        </w:rPr>
      </w:pPr>
      <w:r w:rsidRPr="002F7D88">
        <w:rPr>
          <w:b/>
          <w:color w:val="000000"/>
        </w:rPr>
        <w:t>Ukončenie zmluvy</w:t>
      </w:r>
    </w:p>
    <w:p w:rsidR="0011636B" w:rsidRPr="002F7D88" w:rsidRDefault="0011636B" w:rsidP="00636365">
      <w:pPr>
        <w:pStyle w:val="Odsekzoznamu"/>
        <w:ind w:left="0"/>
        <w:jc w:val="both"/>
        <w:rPr>
          <w:b/>
          <w:color w:val="000000"/>
        </w:rPr>
      </w:pPr>
    </w:p>
    <w:p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rsidR="006B7D0A" w:rsidRPr="002F7D88" w:rsidRDefault="006B7D0A" w:rsidP="00636365">
      <w:pPr>
        <w:pStyle w:val="Odsekzoznamu"/>
        <w:jc w:val="both"/>
        <w:rPr>
          <w:color w:val="000000"/>
        </w:rPr>
      </w:pPr>
    </w:p>
    <w:p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6B7D0A" w:rsidRPr="002F7D88" w:rsidRDefault="006B7D0A" w:rsidP="00636365">
      <w:pPr>
        <w:pStyle w:val="Odsekzoznamu"/>
        <w:jc w:val="both"/>
        <w:rPr>
          <w:color w:val="000000"/>
        </w:rPr>
      </w:pPr>
    </w:p>
    <w:p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rsidR="006B7D0A" w:rsidRPr="002F7D88" w:rsidRDefault="006B7D0A" w:rsidP="00636365">
      <w:pPr>
        <w:pStyle w:val="Odsekzoznamu"/>
        <w:jc w:val="both"/>
        <w:rPr>
          <w:color w:val="000000"/>
        </w:rPr>
      </w:pPr>
    </w:p>
    <w:p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rsidR="006B7D0A" w:rsidRPr="002F7D88" w:rsidRDefault="006B7D0A" w:rsidP="00636365">
      <w:pPr>
        <w:pStyle w:val="Odsekzoznamu"/>
        <w:jc w:val="both"/>
        <w:rPr>
          <w:color w:val="000000"/>
        </w:rPr>
      </w:pPr>
    </w:p>
    <w:p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rsidR="006B7D0A" w:rsidRPr="002F7D88" w:rsidRDefault="006B7D0A" w:rsidP="00636365">
      <w:pPr>
        <w:pStyle w:val="Odsekzoznamu"/>
        <w:jc w:val="both"/>
        <w:rPr>
          <w:color w:val="000000"/>
        </w:rPr>
      </w:pPr>
    </w:p>
    <w:p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rsidR="00076651" w:rsidRDefault="00076651" w:rsidP="00636365">
      <w:pPr>
        <w:pStyle w:val="Odsekzoznamu"/>
        <w:ind w:left="0"/>
        <w:jc w:val="both"/>
        <w:rPr>
          <w:b/>
          <w:color w:val="000000"/>
        </w:rPr>
      </w:pPr>
    </w:p>
    <w:p w:rsidR="00B444BA" w:rsidRPr="002F7D88" w:rsidRDefault="00B444BA" w:rsidP="00636365">
      <w:pPr>
        <w:pStyle w:val="Odsekzoznamu"/>
        <w:ind w:left="0"/>
        <w:jc w:val="both"/>
        <w:rPr>
          <w:b/>
          <w:color w:val="000000"/>
        </w:rPr>
      </w:pPr>
    </w:p>
    <w:p w:rsidR="00B2625C" w:rsidRPr="002F7D88" w:rsidRDefault="00B2625C" w:rsidP="00636365">
      <w:pPr>
        <w:pStyle w:val="Odsekzoznamu"/>
        <w:ind w:left="0"/>
        <w:jc w:val="both"/>
        <w:rPr>
          <w:b/>
          <w:color w:val="000000"/>
        </w:rPr>
      </w:pPr>
    </w:p>
    <w:p w:rsidR="00D25F53" w:rsidRPr="002F7D88" w:rsidRDefault="0065057C" w:rsidP="00636365">
      <w:pPr>
        <w:jc w:val="center"/>
        <w:rPr>
          <w:b/>
          <w:color w:val="000000"/>
        </w:rPr>
      </w:pPr>
      <w:r w:rsidRPr="002F7D88">
        <w:rPr>
          <w:b/>
          <w:color w:val="000000"/>
        </w:rPr>
        <w:t>Článok VII</w:t>
      </w:r>
      <w:r w:rsidR="00B2625C" w:rsidRPr="002F7D88">
        <w:rPr>
          <w:b/>
          <w:color w:val="000000"/>
        </w:rPr>
        <w:t>I.</w:t>
      </w:r>
    </w:p>
    <w:p w:rsidR="00A05E95" w:rsidRPr="002F7D88" w:rsidRDefault="00A05E95" w:rsidP="00636365">
      <w:pPr>
        <w:pStyle w:val="Odsekzoznamu"/>
        <w:ind w:left="0"/>
        <w:jc w:val="center"/>
        <w:rPr>
          <w:b/>
        </w:rPr>
      </w:pPr>
      <w:r w:rsidRPr="002F7D88">
        <w:rPr>
          <w:b/>
          <w:color w:val="000000"/>
        </w:rPr>
        <w:t>Záverečné ustanovenie</w:t>
      </w:r>
    </w:p>
    <w:p w:rsidR="006C2B38" w:rsidRPr="002F7D88" w:rsidRDefault="006C2B38" w:rsidP="00636365">
      <w:pPr>
        <w:jc w:val="both"/>
        <w:rPr>
          <w:b/>
        </w:rPr>
      </w:pPr>
    </w:p>
    <w:p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w:t>
      </w:r>
      <w:proofErr w:type="spellStart"/>
      <w:r w:rsidRPr="002F7D88">
        <w:t>obdrží</w:t>
      </w:r>
      <w:proofErr w:type="spellEnd"/>
      <w:r w:rsidRPr="002F7D88">
        <w:t xml:space="preserve"> po </w:t>
      </w:r>
      <w:r w:rsidR="00A01467">
        <w:t>jednom</w:t>
      </w:r>
      <w:r w:rsidRPr="002F7D88">
        <w:t xml:space="preserve"> rovnopis</w:t>
      </w:r>
      <w:r w:rsidR="00A01467">
        <w:t>e</w:t>
      </w:r>
      <w:r w:rsidR="00197518" w:rsidRPr="002F7D88">
        <w:t>.</w:t>
      </w:r>
    </w:p>
    <w:p w:rsidR="004F4839" w:rsidRPr="002F7D88" w:rsidRDefault="004F4839" w:rsidP="00636365">
      <w:pPr>
        <w:pStyle w:val="Odsekzoznamu"/>
        <w:ind w:left="567"/>
        <w:jc w:val="both"/>
      </w:pPr>
    </w:p>
    <w:p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rsidR="004F4839" w:rsidRPr="002F7D88" w:rsidRDefault="004F4839" w:rsidP="00636365">
      <w:pPr>
        <w:pStyle w:val="Odsekzoznamu"/>
        <w:ind w:left="567"/>
        <w:jc w:val="both"/>
      </w:pPr>
    </w:p>
    <w:p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rsidR="00C1100A" w:rsidRPr="002F7D88" w:rsidRDefault="00C1100A" w:rsidP="00636365">
      <w:pPr>
        <w:pStyle w:val="Odsekzoznamu"/>
        <w:ind w:left="284"/>
        <w:jc w:val="both"/>
      </w:pPr>
    </w:p>
    <w:p w:rsidR="00A05E95" w:rsidRPr="002F7D88" w:rsidRDefault="00197518" w:rsidP="00636365">
      <w:pPr>
        <w:pStyle w:val="Odsekzoznamu"/>
        <w:numPr>
          <w:ilvl w:val="0"/>
          <w:numId w:val="22"/>
        </w:numPr>
        <w:tabs>
          <w:tab w:val="clear" w:pos="720"/>
          <w:tab w:val="num" w:pos="426"/>
        </w:tabs>
        <w:ind w:left="426" w:hanging="426"/>
        <w:jc w:val="both"/>
      </w:pPr>
      <w:r w:rsidRPr="002F7D88">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rsidR="004F4839" w:rsidRPr="002F7D88" w:rsidRDefault="004F4839" w:rsidP="00636365">
      <w:pPr>
        <w:pStyle w:val="Odsekzoznamu"/>
        <w:ind w:left="567"/>
        <w:jc w:val="both"/>
      </w:pPr>
    </w:p>
    <w:p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rsidR="00C33DA5" w:rsidRDefault="00C33DA5" w:rsidP="00C33DA5">
      <w:pPr>
        <w:pStyle w:val="Odsekzoznamu"/>
        <w:ind w:left="426"/>
        <w:jc w:val="both"/>
      </w:pPr>
    </w:p>
    <w:p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rsidR="004F4839" w:rsidRPr="002F7D88" w:rsidRDefault="004F4839" w:rsidP="00636365">
      <w:pPr>
        <w:pStyle w:val="Odsekzoznamu"/>
        <w:ind w:left="567"/>
        <w:jc w:val="both"/>
      </w:pPr>
    </w:p>
    <w:p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rsidR="004F4839" w:rsidRPr="002F7D88" w:rsidRDefault="004F4839" w:rsidP="00636365">
      <w:pPr>
        <w:pStyle w:val="Odsekzoznamu"/>
        <w:ind w:left="567"/>
        <w:jc w:val="both"/>
      </w:pPr>
    </w:p>
    <w:p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rsidR="00B444BA" w:rsidRPr="002F7D88" w:rsidRDefault="00B444BA" w:rsidP="00B444BA">
      <w:pPr>
        <w:pStyle w:val="Odsekzoznamu"/>
        <w:ind w:left="426"/>
        <w:jc w:val="both"/>
      </w:pPr>
    </w:p>
    <w:p w:rsidR="00D25F53" w:rsidRPr="002F7D88" w:rsidRDefault="00D25F53" w:rsidP="00636365">
      <w:pPr>
        <w:jc w:val="both"/>
      </w:pPr>
    </w:p>
    <w:p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rsidR="00B2625C" w:rsidRDefault="00B2625C" w:rsidP="00636365">
      <w:pPr>
        <w:jc w:val="both"/>
      </w:pPr>
    </w:p>
    <w:p w:rsidR="00A01467" w:rsidRDefault="00A01467" w:rsidP="00636365">
      <w:pPr>
        <w:jc w:val="both"/>
      </w:pPr>
    </w:p>
    <w:p w:rsidR="00A01467" w:rsidRPr="002F7D88" w:rsidRDefault="00A01467" w:rsidP="00636365">
      <w:pPr>
        <w:jc w:val="both"/>
      </w:pPr>
    </w:p>
    <w:p w:rsidR="005C4625" w:rsidRPr="002F7D88" w:rsidRDefault="005C4625" w:rsidP="00636365">
      <w:pPr>
        <w:jc w:val="both"/>
      </w:pPr>
    </w:p>
    <w:p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rsidR="00263912" w:rsidRPr="002F7D88" w:rsidRDefault="00263912" w:rsidP="00636365">
      <w:pPr>
        <w:tabs>
          <w:tab w:val="center" w:pos="1985"/>
          <w:tab w:val="center" w:pos="7088"/>
        </w:tabs>
        <w:jc w:val="both"/>
      </w:pPr>
    </w:p>
    <w:p w:rsidR="00263912" w:rsidRPr="002F7D88" w:rsidRDefault="00263912" w:rsidP="00636365">
      <w:pPr>
        <w:tabs>
          <w:tab w:val="center" w:pos="1985"/>
          <w:tab w:val="center" w:pos="7088"/>
        </w:tabs>
        <w:jc w:val="both"/>
      </w:pPr>
    </w:p>
    <w:p w:rsidR="00263912" w:rsidRPr="002F7D88" w:rsidRDefault="00263912" w:rsidP="00636365">
      <w:pPr>
        <w:tabs>
          <w:tab w:val="center" w:pos="1985"/>
          <w:tab w:val="center" w:pos="7088"/>
        </w:tabs>
        <w:jc w:val="both"/>
      </w:pPr>
    </w:p>
    <w:p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rsidR="00263912" w:rsidRPr="002F7D88"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sectPr w:rsidR="00263912"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F05" w:rsidRDefault="00D23F05" w:rsidP="00263912">
      <w:r>
        <w:separator/>
      </w:r>
    </w:p>
  </w:endnote>
  <w:endnote w:type="continuationSeparator" w:id="0">
    <w:p w:rsidR="00D23F05" w:rsidRDefault="00D23F05"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288432"/>
      <w:docPartObj>
        <w:docPartGallery w:val="Page Numbers (Bottom of Page)"/>
        <w:docPartUnique/>
      </w:docPartObj>
    </w:sdtPr>
    <w:sdtEndPr/>
    <w:sdtContent>
      <w:p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C76B1F">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F05" w:rsidRDefault="00D23F05" w:rsidP="00263912">
      <w:r>
        <w:separator/>
      </w:r>
    </w:p>
  </w:footnote>
  <w:footnote w:type="continuationSeparator" w:id="0">
    <w:p w:rsidR="00D23F05" w:rsidRDefault="00D23F05"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22"/>
  </w:num>
  <w:num w:numId="5">
    <w:abstractNumId w:val="18"/>
  </w:num>
  <w:num w:numId="6">
    <w:abstractNumId w:val="21"/>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1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1D9A"/>
    <w:rsid w:val="00013B13"/>
    <w:rsid w:val="00037A57"/>
    <w:rsid w:val="00046AEE"/>
    <w:rsid w:val="00076651"/>
    <w:rsid w:val="000A55E6"/>
    <w:rsid w:val="000C6318"/>
    <w:rsid w:val="000C6544"/>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5EA8"/>
    <w:rsid w:val="001E6B54"/>
    <w:rsid w:val="001E7FB0"/>
    <w:rsid w:val="001F23CB"/>
    <w:rsid w:val="00210CD8"/>
    <w:rsid w:val="002167E5"/>
    <w:rsid w:val="002306B7"/>
    <w:rsid w:val="00233823"/>
    <w:rsid w:val="00234466"/>
    <w:rsid w:val="00234B93"/>
    <w:rsid w:val="00263912"/>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68D1"/>
    <w:rsid w:val="003975F3"/>
    <w:rsid w:val="003A1DB5"/>
    <w:rsid w:val="003A41D6"/>
    <w:rsid w:val="003B7E77"/>
    <w:rsid w:val="003D2252"/>
    <w:rsid w:val="003D298E"/>
    <w:rsid w:val="00423051"/>
    <w:rsid w:val="0042757A"/>
    <w:rsid w:val="00456ED2"/>
    <w:rsid w:val="00466FCC"/>
    <w:rsid w:val="00476646"/>
    <w:rsid w:val="00497B35"/>
    <w:rsid w:val="004A0CCD"/>
    <w:rsid w:val="004B6392"/>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6BE1"/>
    <w:rsid w:val="006B7D0A"/>
    <w:rsid w:val="006C0DB4"/>
    <w:rsid w:val="006C2B38"/>
    <w:rsid w:val="006D74C2"/>
    <w:rsid w:val="007161D6"/>
    <w:rsid w:val="00726187"/>
    <w:rsid w:val="00733E36"/>
    <w:rsid w:val="00734EC2"/>
    <w:rsid w:val="00750B83"/>
    <w:rsid w:val="00754A5D"/>
    <w:rsid w:val="00763C6B"/>
    <w:rsid w:val="007B1118"/>
    <w:rsid w:val="007D794F"/>
    <w:rsid w:val="007F4063"/>
    <w:rsid w:val="0080024B"/>
    <w:rsid w:val="00805246"/>
    <w:rsid w:val="00813E91"/>
    <w:rsid w:val="00846AA2"/>
    <w:rsid w:val="0087013E"/>
    <w:rsid w:val="008874CC"/>
    <w:rsid w:val="00887881"/>
    <w:rsid w:val="00894A84"/>
    <w:rsid w:val="00895087"/>
    <w:rsid w:val="008A5B44"/>
    <w:rsid w:val="008A6901"/>
    <w:rsid w:val="008B0C88"/>
    <w:rsid w:val="008B2DBC"/>
    <w:rsid w:val="008C1CF5"/>
    <w:rsid w:val="008E4162"/>
    <w:rsid w:val="008E7178"/>
    <w:rsid w:val="008F0D10"/>
    <w:rsid w:val="008F7AC4"/>
    <w:rsid w:val="009033E7"/>
    <w:rsid w:val="0090349C"/>
    <w:rsid w:val="009116DE"/>
    <w:rsid w:val="00924E1E"/>
    <w:rsid w:val="00925CC1"/>
    <w:rsid w:val="009315C3"/>
    <w:rsid w:val="009530D2"/>
    <w:rsid w:val="009A343A"/>
    <w:rsid w:val="009C47AA"/>
    <w:rsid w:val="009D3B99"/>
    <w:rsid w:val="009E2976"/>
    <w:rsid w:val="009E5869"/>
    <w:rsid w:val="009E7810"/>
    <w:rsid w:val="009F210D"/>
    <w:rsid w:val="00A01467"/>
    <w:rsid w:val="00A05E95"/>
    <w:rsid w:val="00A11AD1"/>
    <w:rsid w:val="00A40DD9"/>
    <w:rsid w:val="00A413DC"/>
    <w:rsid w:val="00A43DC0"/>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4946"/>
    <w:rsid w:val="00B20672"/>
    <w:rsid w:val="00B2625C"/>
    <w:rsid w:val="00B444BA"/>
    <w:rsid w:val="00B45126"/>
    <w:rsid w:val="00B45EBC"/>
    <w:rsid w:val="00B50FFE"/>
    <w:rsid w:val="00B64EE2"/>
    <w:rsid w:val="00B6768E"/>
    <w:rsid w:val="00BA3A70"/>
    <w:rsid w:val="00BA6A3F"/>
    <w:rsid w:val="00BB7281"/>
    <w:rsid w:val="00BE14EE"/>
    <w:rsid w:val="00C06C7F"/>
    <w:rsid w:val="00C1100A"/>
    <w:rsid w:val="00C13AA9"/>
    <w:rsid w:val="00C27F26"/>
    <w:rsid w:val="00C33DA5"/>
    <w:rsid w:val="00C34DDC"/>
    <w:rsid w:val="00C663F2"/>
    <w:rsid w:val="00C7676B"/>
    <w:rsid w:val="00C76B1F"/>
    <w:rsid w:val="00C92172"/>
    <w:rsid w:val="00CC647A"/>
    <w:rsid w:val="00CE4A6F"/>
    <w:rsid w:val="00CE68E6"/>
    <w:rsid w:val="00CF272D"/>
    <w:rsid w:val="00D077B3"/>
    <w:rsid w:val="00D23F05"/>
    <w:rsid w:val="00D25F53"/>
    <w:rsid w:val="00D3284E"/>
    <w:rsid w:val="00D34317"/>
    <w:rsid w:val="00D401C7"/>
    <w:rsid w:val="00D457E2"/>
    <w:rsid w:val="00D532D4"/>
    <w:rsid w:val="00D71288"/>
    <w:rsid w:val="00D9372C"/>
    <w:rsid w:val="00D9757B"/>
    <w:rsid w:val="00DA4C52"/>
    <w:rsid w:val="00DB07BD"/>
    <w:rsid w:val="00DB322F"/>
    <w:rsid w:val="00E05251"/>
    <w:rsid w:val="00E0638B"/>
    <w:rsid w:val="00E07F5C"/>
    <w:rsid w:val="00E2575F"/>
    <w:rsid w:val="00E273F2"/>
    <w:rsid w:val="00E40A9D"/>
    <w:rsid w:val="00E4242B"/>
    <w:rsid w:val="00E5102D"/>
    <w:rsid w:val="00E51C70"/>
    <w:rsid w:val="00E814B7"/>
    <w:rsid w:val="00E87AE0"/>
    <w:rsid w:val="00EA0CA8"/>
    <w:rsid w:val="00EA2B8A"/>
    <w:rsid w:val="00EA4278"/>
    <w:rsid w:val="00EA4B8E"/>
    <w:rsid w:val="00EA5D09"/>
    <w:rsid w:val="00EB6F92"/>
    <w:rsid w:val="00EC1EA6"/>
    <w:rsid w:val="00EC4CAB"/>
    <w:rsid w:val="00EC50D7"/>
    <w:rsid w:val="00ED05F9"/>
    <w:rsid w:val="00ED6FC2"/>
    <w:rsid w:val="00EE043A"/>
    <w:rsid w:val="00F2028D"/>
    <w:rsid w:val="00F25DAA"/>
    <w:rsid w:val="00F30A20"/>
    <w:rsid w:val="00F3400D"/>
    <w:rsid w:val="00F44E93"/>
    <w:rsid w:val="00F50300"/>
    <w:rsid w:val="00F60A93"/>
    <w:rsid w:val="00F64D42"/>
    <w:rsid w:val="00F65F0F"/>
    <w:rsid w:val="00F67781"/>
    <w:rsid w:val="00F67F21"/>
    <w:rsid w:val="00F86DF6"/>
    <w:rsid w:val="00F911A2"/>
    <w:rsid w:val="00F94C4B"/>
    <w:rsid w:val="00FA6F8B"/>
    <w:rsid w:val="00FC2DA8"/>
    <w:rsid w:val="00FD5490"/>
    <w:rsid w:val="00FE721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54E66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FDF48-6B6E-4580-BAD7-78FBC65B9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1797</Words>
  <Characters>10247</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Navesnakova Andrea</cp:lastModifiedBy>
  <cp:revision>4</cp:revision>
  <cp:lastPrinted>2020-07-02T13:08:00Z</cp:lastPrinted>
  <dcterms:created xsi:type="dcterms:W3CDTF">2020-10-22T15:07:00Z</dcterms:created>
  <dcterms:modified xsi:type="dcterms:W3CDTF">2020-10-22T15:08:00Z</dcterms:modified>
</cp:coreProperties>
</file>