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17CF468F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proofErr w:type="spellStart"/>
      <w:r>
        <w:t>Security</w:t>
      </w:r>
      <w:proofErr w:type="spellEnd"/>
      <w:r>
        <w:t xml:space="preserve"> sieťové zariadenia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724E4D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0F898" w14:textId="29DA444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6BFF" w14:textId="003BD88F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724E4D" w:rsidRPr="00982690" w14:paraId="32072AF2" w14:textId="7C428FA6" w:rsidTr="00724E4D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61579E41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 w:rsidRPr="0075709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F5 BIG-IP 5800,LTM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1290A" w14:textId="357A3B4C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10DDF3D8" w14:textId="7979D0AE" w:rsidTr="00724E4D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5074" w14:textId="7B2D574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b/>
                <w:bCs/>
                <w:sz w:val="28"/>
                <w:szCs w:val="28"/>
              </w:rPr>
              <w:t>F5 BIG-IP 10800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C4130" w14:textId="157A2D9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C07B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DC8F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724E4D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724E4D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724E4D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94451"/>
    <w:rsid w:val="000C234E"/>
    <w:rsid w:val="00194533"/>
    <w:rsid w:val="002C6321"/>
    <w:rsid w:val="0030186E"/>
    <w:rsid w:val="00352902"/>
    <w:rsid w:val="004D1F9A"/>
    <w:rsid w:val="006B6CE0"/>
    <w:rsid w:val="00724E4D"/>
    <w:rsid w:val="00763ED1"/>
    <w:rsid w:val="008D1704"/>
    <w:rsid w:val="008E6A08"/>
    <w:rsid w:val="00995D99"/>
    <w:rsid w:val="009F7661"/>
    <w:rsid w:val="00B54CE2"/>
    <w:rsid w:val="00C60E91"/>
    <w:rsid w:val="00D57276"/>
    <w:rsid w:val="00D913B3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Miriama Ištvánová</cp:lastModifiedBy>
  <cp:revision>5</cp:revision>
  <dcterms:created xsi:type="dcterms:W3CDTF">2020-12-11T10:40:00Z</dcterms:created>
  <dcterms:modified xsi:type="dcterms:W3CDTF">2020-12-14T14:55:00Z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