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76C0E0E" w:rsidR="0049242F" w:rsidRPr="00FD52EC" w:rsidRDefault="0001338F" w:rsidP="0042654B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FD52EC">
        <w:rPr>
          <w:sz w:val="36"/>
          <w:szCs w:val="36"/>
          <w:lang w:eastAsia="en-US"/>
        </w:rPr>
        <w:t>Odôvodnenie nerozdelenia zákazky na časti</w:t>
      </w:r>
    </w:p>
    <w:p w14:paraId="0767EEE9" w14:textId="77777777" w:rsidR="004D203B" w:rsidRDefault="004D203B" w:rsidP="00FD52EC">
      <w:pPr>
        <w:widowControl w:val="0"/>
        <w:spacing w:after="160" w:line="25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4BF5E195" w:rsidR="0049242F" w:rsidRPr="0042654B" w:rsidRDefault="004D203B" w:rsidP="00FD52EC">
      <w:pPr>
        <w:widowControl w:val="0"/>
        <w:spacing w:after="160" w:line="25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odľa § </w:t>
      </w:r>
      <w:r w:rsidR="0001338F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28</w:t>
      </w:r>
      <w:r w:rsidR="0049242F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ods. </w:t>
      </w:r>
      <w:r w:rsidR="0001338F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="0049242F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zákona č. 343/2015 Z. z. o verejnom obstarávaní a o</w:t>
      </w:r>
      <w:r w:rsidR="00681BB9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390D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doplnení niektorých zákonov v </w:t>
      </w:r>
      <w:r w:rsidR="0049242F" w:rsidRPr="0042654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znení neskorších predpisov </w:t>
      </w:r>
      <w:r w:rsidRPr="0042654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odôvodňuje verejný obstarávateľ nerozdelenie zákazky s názvom „</w:t>
      </w:r>
      <w:bookmarkStart w:id="0" w:name="_Hlk61011254"/>
      <w:r w:rsidR="0042654B" w:rsidRPr="0042654B">
        <w:rPr>
          <w:rFonts w:ascii="Times New Roman" w:hAnsi="Times New Roman" w:cs="Times New Roman"/>
          <w:sz w:val="24"/>
          <w:szCs w:val="24"/>
        </w:rPr>
        <w:t>Sťahovacie služby: služby spojené s presunmi zariadenia a vybavenia</w:t>
      </w:r>
      <w:bookmarkEnd w:id="0"/>
      <w:r w:rsidRPr="0042654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“ </w:t>
      </w:r>
      <w:r w:rsidR="000508D7" w:rsidRPr="0042654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na časti </w:t>
      </w:r>
      <w:r w:rsidRPr="0042654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nasledovne:</w:t>
      </w:r>
    </w:p>
    <w:p w14:paraId="500ACD19" w14:textId="7BC1EF20" w:rsidR="00FE6E36" w:rsidRDefault="0019679C" w:rsidP="00BF37CF">
      <w:pPr>
        <w:widowControl w:val="0"/>
        <w:spacing w:after="160" w:line="25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 základe</w:t>
      </w:r>
      <w:r w:rsidR="00D7616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informácií z</w:t>
      </w:r>
      <w:r w:rsidR="00C975D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ískaných z</w:t>
      </w:r>
      <w:r w:rsidR="00D7616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 relevantného trhu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možno konštatovať, že </w:t>
      </w:r>
      <w:r w:rsidR="00D7616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 súčasnosti</w:t>
      </w:r>
      <w:r w:rsidR="003F25DA"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D206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</w:t>
      </w:r>
      <w:r w:rsidR="005B12B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na ňom </w:t>
      </w:r>
      <w:r w:rsidR="003F25DA"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pôsobí </w:t>
      </w:r>
      <w:r w:rsidR="005C7F1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primerané množstvo</w:t>
      </w:r>
      <w:r w:rsidR="003F25DA"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C432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hospodárskych subjektov</w:t>
      </w:r>
      <w:r w:rsidR="003F25DA"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ktoré</w:t>
      </w:r>
      <w:r w:rsidR="00C03D4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sú </w:t>
      </w:r>
      <w:r w:rsidR="00FF0E2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 zmysle</w:t>
      </w:r>
      <w:r w:rsidR="007033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odporúčania Európskej komisie 2003/361/ES uverejneného v Úradnom vestníku Európskej únie L 124 z 20. mája 2003</w:t>
      </w:r>
      <w:r w:rsidR="00CC432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definované ako malé a stredné podniky</w:t>
      </w:r>
      <w:r w:rsidR="00131D6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(ďalej len „MSP“)</w:t>
      </w:r>
      <w:r w:rsidR="007033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 ktoré </w:t>
      </w:r>
      <w:r w:rsidR="001753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disponujú kapacitami pre </w:t>
      </w:r>
      <w:r w:rsidR="00CC432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komplexn</w:t>
      </w:r>
      <w:r w:rsidR="001753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é poskytovanie požadovaných služieb v r</w:t>
      </w:r>
      <w:r w:rsidR="007033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ámci zadávanej zákazky ako cel</w:t>
      </w:r>
      <w:r w:rsidR="001753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ku</w:t>
      </w:r>
      <w:r w:rsidR="0070332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3F25DA"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Rozdelenie zákazky na časti by </w:t>
      </w:r>
      <w:r w:rsidR="00131D6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vo vzťahu k umožneniu prístupu k zákazke </w:t>
      </w:r>
      <w:r w:rsidR="001753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</w:t>
      </w:r>
      <w:r w:rsidR="00131D6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pre MSP </w:t>
      </w:r>
      <w:r w:rsidR="003F25DA"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bolo </w:t>
      </w:r>
      <w:r w:rsidR="006E0B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teda </w:t>
      </w:r>
      <w:r w:rsidR="003F25DA"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samoúčelné</w:t>
      </w:r>
      <w:r w:rsidR="0097440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 to </w:t>
      </w:r>
      <w:r w:rsidR="00F863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aj </w:t>
      </w:r>
      <w:r w:rsidR="0097440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vzhľadom na jej </w:t>
      </w:r>
      <w:r w:rsidR="00382DF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určený</w:t>
      </w:r>
      <w:r w:rsidR="0097440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rozsah</w:t>
      </w:r>
      <w:r w:rsidR="00AA4B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spôsob poskytovania služieb a financovanie predmetu zákazky </w:t>
      </w:r>
      <w:r w:rsidR="00F863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6E0B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z </w:t>
      </w:r>
      <w:r w:rsidR="00AA4B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toho</w:t>
      </w:r>
      <w:r w:rsidR="006E0B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vyplývajúce </w:t>
      </w:r>
      <w:r w:rsidR="00382DF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požiadavky </w:t>
      </w:r>
      <w:r w:rsidR="006E0B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82DF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na </w:t>
      </w:r>
      <w:r w:rsidR="0049187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finančné,</w:t>
      </w:r>
      <w:r w:rsidR="00AA4B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753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</w:t>
      </w:r>
      <w:r w:rsidR="0049187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resp. ekonomické postavenie </w:t>
      </w:r>
      <w:r w:rsidR="006E0B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budúceho </w:t>
      </w:r>
      <w:r w:rsidR="00382DF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poskytovateľa</w:t>
      </w:r>
      <w:r w:rsidR="006E0B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E1277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E30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Identifikovaná e</w:t>
      </w:r>
      <w:r w:rsidR="00E1277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xistencia primeraného množstva </w:t>
      </w:r>
      <w:r w:rsidR="00EB076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hospodárskych subjektov na relevantnom trhu</w:t>
      </w:r>
      <w:r w:rsidR="005E30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vytvára podmienky    pre </w:t>
      </w:r>
      <w:r w:rsidR="005524E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transparentnú </w:t>
      </w:r>
      <w:r w:rsidR="0088160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hospodársku súťaž, ktorá vygeneruje pre verejného obstarávateľa najlepšieho poskytovateľa služieb. </w:t>
      </w:r>
      <w:r w:rsidR="00EB076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5E8B693" w14:textId="6F7178ED" w:rsidR="00170EC3" w:rsidRDefault="00FE6E36" w:rsidP="00BF37CF">
      <w:pPr>
        <w:widowControl w:val="0"/>
        <w:spacing w:after="160" w:line="25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Rozdelenie zákazky na časti by verejnému obstarávateľovi, </w:t>
      </w:r>
      <w:r w:rsidR="008B60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ako vyplýva z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8B60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jeho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predchádzajúcich negatívnych skúseností, z organizačného hľadiska spôsobilo významné problémy pri riadení </w:t>
      </w:r>
      <w:r w:rsidR="008B60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poskytovania služieb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 to najmä vo vzťahu k časovej koordinácii objednávania a poskytovania vzájomne súvisiacich a neoddeliteľne nadväzujúcich služieb viacerými, navzájom nezávislými poskytovateľmi (dopravné služby nadväzujú na sťahovacie pri nakladaní materiálu a zariadení a naopak sťahovacie služby nadväzujú na dopravné služby pri vykladaní materiálu a zariadení). Uvedené sa týka </w:t>
      </w:r>
      <w:r w:rsidR="00831B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najmä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koordinácie pristavovania vozidiel určených a prepravu materiálu a sťahovacích služieb v prípade rôznych poskytovateľov.</w:t>
      </w:r>
      <w:r w:rsidR="00170EC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Zároveň by rozdelenie zákazky na časti  spôsobilo významné problémy pri odovzdávaní a preberaní poskytnutých služieb medzi verejným obstarávateľom </w:t>
      </w:r>
      <w:r w:rsidR="00BC53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ich </w:t>
      </w:r>
      <w:r w:rsidR="00170EC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rôznymi poskytovateľmi. </w:t>
      </w:r>
    </w:p>
    <w:p w14:paraId="7F4D3B15" w14:textId="5043702B" w:rsidR="004B6F29" w:rsidRDefault="00FE6E36" w:rsidP="00BF37CF">
      <w:pPr>
        <w:widowControl w:val="0"/>
        <w:spacing w:after="160" w:line="25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9769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Verejný obstarávateľ je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zo zákona </w:t>
      </w:r>
      <w:r w:rsidRPr="0059769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povinný </w:t>
      </w:r>
      <w:r w:rsidRPr="0059769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zabezpeč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ovať</w:t>
      </w:r>
      <w:r w:rsidRPr="0059769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dodržiavanie primeranej ochrany majetku v</w:t>
      </w:r>
      <w:r w:rsidR="0015397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jeho</w:t>
      </w:r>
      <w:r w:rsidRPr="0059769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vlastníctve, resp. v správe </w:t>
      </w:r>
      <w:r w:rsidR="003309F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 to </w:t>
      </w:r>
      <w:r w:rsidR="0015397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i </w:t>
      </w:r>
      <w:r w:rsidRPr="0059769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pri </w:t>
      </w:r>
      <w:r w:rsidR="003309F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ich </w:t>
      </w:r>
      <w:r w:rsidRPr="0059769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presúvaní v rámci </w:t>
      </w:r>
      <w:r w:rsidR="003309F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samotného </w:t>
      </w:r>
      <w:r w:rsidRPr="0059769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objektu</w:t>
      </w:r>
      <w:r w:rsidR="003309F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v ktorom sa nachádzajú,</w:t>
      </w:r>
      <w:r w:rsidRPr="0059769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ko aj</w:t>
      </w:r>
      <w:r w:rsidRPr="0059769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medzi </w:t>
      </w:r>
      <w:r w:rsidR="00964F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oddelenými</w:t>
      </w:r>
      <w:r w:rsidRPr="0059769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nehnuteľnosťami</w:t>
      </w:r>
      <w:r w:rsidRPr="0059769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v majetku, resp. správe </w:t>
      </w:r>
      <w:r w:rsidRPr="0059769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verejného obstarávateľa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0115B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Z tohto hľadiska je rozdelenie zákazky na časti </w:t>
      </w:r>
      <w:r w:rsidR="000115B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problematické </w:t>
      </w:r>
      <w:r w:rsidR="005612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0115B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aj vo vzťahu k zabezpečovaniu ochrany sťahovaného majetku a prípadného následného vyvodzovania zodpovednosti za jeho poškodenie</w:t>
      </w:r>
      <w:r w:rsidR="00BA471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od rôznych poskytovateľov </w:t>
      </w:r>
      <w:r w:rsidR="00000C3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poskytujúcich </w:t>
      </w:r>
      <w:r w:rsidR="00BA471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navzájom nadväzujúc</w:t>
      </w:r>
      <w:r w:rsidR="00000C3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 služby</w:t>
      </w:r>
      <w:r w:rsidR="00D3208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 Súčasťou takto poskytovaných služieb </w:t>
      </w:r>
      <w:r w:rsidR="00000C3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by </w:t>
      </w:r>
      <w:r w:rsidR="00D3208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potom </w:t>
      </w:r>
      <w:r w:rsidR="00000C3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muselo byť protokolárne preberanie a odovzdávanie sťahovaného materiálu, resp. zariadenia, </w:t>
      </w:r>
      <w:r w:rsidR="00BD2A4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</w:t>
      </w:r>
      <w:r w:rsidR="00000C3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čo by neúmerne zvyšovalo časovú náročnosť poskytovania služieb</w:t>
      </w:r>
      <w:r w:rsidR="004B43E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0367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Zároveň v prípade rôznych poskytovateľov jednotlivých služieb by došlo jednak k duplicite nákladov</w:t>
      </w:r>
      <w:r w:rsidR="00A174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spojených s dopravou pracovníkov ako aj </w:t>
      </w:r>
      <w:r w:rsidR="004136E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</w:t>
      </w:r>
      <w:r w:rsidR="00FF6A3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zníženiu efektivity pracovníkov, ktorí poskytovanie služieb poskytujú (napr. neefektívne využitie vodičov vozidiel určených na prepravu materiálu a zariadení). Uvedené by malo za následok z</w:t>
      </w:r>
      <w:r w:rsidR="00F813C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 toho vyplývajúce </w:t>
      </w:r>
      <w:r w:rsidR="00FF6A3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zvýšenie celkových nákladov </w:t>
      </w:r>
      <w:r w:rsidR="00F813C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D20B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verejného obstarávateľa </w:t>
      </w:r>
      <w:r w:rsidR="00FF6A3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</w:t>
      </w:r>
      <w:r w:rsidR="00D20B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</w:t>
      </w:r>
      <w:r w:rsidR="00FF6A3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zabezpečenie poskytnutých služieb</w:t>
      </w:r>
      <w:r w:rsidR="00D20B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F813C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vzhľadom na spôsob financovania služieb (hodinové sadzby</w:t>
      </w:r>
      <w:r w:rsidR="00212AD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za služby</w:t>
      </w:r>
      <w:r w:rsidR="00F813C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), čo by bolo pre verejného obstarávateľa neefektívne.</w:t>
      </w:r>
      <w:r w:rsidR="000115B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</w:t>
      </w:r>
    </w:p>
    <w:p w14:paraId="3783F778" w14:textId="2A378EA2" w:rsidR="003F25DA" w:rsidRPr="003F25DA" w:rsidRDefault="003F25DA" w:rsidP="00BF37CF">
      <w:pPr>
        <w:widowControl w:val="0"/>
        <w:spacing w:after="160" w:line="25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Verejný obstarávateľ</w:t>
      </w:r>
      <w:r w:rsidR="00A04E9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v nadväznosti na vyššie uvedené skutočnosti </w:t>
      </w:r>
      <w:r w:rsidR="004556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nadobudol</w:t>
      </w:r>
      <w:r w:rsidR="00A04E9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odôvodnené obavy</w:t>
      </w:r>
      <w:r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že v</w:t>
      </w:r>
      <w:r w:rsidR="0096275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prípade</w:t>
      </w:r>
      <w:r w:rsidR="0096275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E74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ak by </w:t>
      </w:r>
      <w:r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rozdelen</w:t>
      </w:r>
      <w:r w:rsidR="005E74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ím</w:t>
      </w:r>
      <w:r w:rsidRPr="003F25D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zákazky </w:t>
      </w:r>
      <w:r w:rsidR="005E74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získal</w:t>
      </w:r>
      <w:r w:rsidR="00CF6E2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rôznych poskytovateľov</w:t>
      </w:r>
      <w:r w:rsidR="005E74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služieb v rámci </w:t>
      </w:r>
      <w:r w:rsidR="00CF6E2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jednotlivých častí</w:t>
      </w:r>
      <w:r w:rsidR="0096275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CF6E2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5199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malo</w:t>
      </w:r>
      <w:r w:rsidR="00E1642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resp. mohlo by to mať</w:t>
      </w:r>
      <w:r w:rsidR="0096275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5199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za následok</w:t>
      </w:r>
      <w:r w:rsidR="00A04E9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14:paraId="2B2034A5" w14:textId="32F208A8" w:rsidR="00370BAD" w:rsidRDefault="008F1BDA" w:rsidP="00BF37CF">
      <w:pPr>
        <w:widowControl w:val="0"/>
        <w:numPr>
          <w:ilvl w:val="0"/>
          <w:numId w:val="1"/>
        </w:numPr>
        <w:spacing w:after="160" w:line="254" w:lineRule="exact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neakceptovateľné</w:t>
      </w:r>
      <w:r w:rsidR="00A04E9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zvýšeni</w:t>
      </w:r>
      <w:r w:rsidR="00CF6E2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</w:t>
      </w:r>
      <w:r w:rsidR="00A04E9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nákladov na zabezpečenie požadovaných služieb verejným </w:t>
      </w:r>
      <w:r w:rsidR="00A04E9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obstarávateľom</w:t>
      </w:r>
      <w:r w:rsidR="007D32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 následkom neefektívneho využívania verejných prostriedkov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</w:p>
    <w:p w14:paraId="77BDC2F1" w14:textId="4021934C" w:rsidR="00370BAD" w:rsidRDefault="00CF6E24" w:rsidP="00BF37CF">
      <w:pPr>
        <w:widowControl w:val="0"/>
        <w:numPr>
          <w:ilvl w:val="0"/>
          <w:numId w:val="1"/>
        </w:numPr>
        <w:spacing w:after="160" w:line="254" w:lineRule="exact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významné zvýšeni</w:t>
      </w:r>
      <w:r w:rsidR="008973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potreby personálnych zdrojov vecne zodpovedného organizačného útvaru </w:t>
      </w:r>
      <w:r w:rsidR="000F193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verejného obstarávateľa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 zabezpečenie úloh</w:t>
      </w:r>
      <w:r w:rsidR="000F193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spojených s presunmi materiálu a zariadení,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</w:t>
      </w:r>
    </w:p>
    <w:p w14:paraId="5CB9856B" w14:textId="3F0DB1EF" w:rsidR="003F25DA" w:rsidRPr="003F25DA" w:rsidRDefault="003C2343" w:rsidP="00BF37CF">
      <w:pPr>
        <w:widowControl w:val="0"/>
        <w:numPr>
          <w:ilvl w:val="0"/>
          <w:numId w:val="1"/>
        </w:numPr>
        <w:spacing w:after="160" w:line="254" w:lineRule="exact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zníženie možnosti identifikácie zodpovedného subjektu za vzniknuté škody spôsobené poskytovaním služieb.</w:t>
      </w:r>
      <w:r w:rsidR="00A04E9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E8B1919" w14:textId="6AD7A31B" w:rsidR="003F25DA" w:rsidRDefault="003F25DA" w:rsidP="00BF37CF">
      <w:pPr>
        <w:widowControl w:val="0"/>
        <w:spacing w:after="160" w:line="25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6D993034" w14:textId="4BAF4D79" w:rsidR="00B73034" w:rsidRPr="003F25DA" w:rsidRDefault="00B73034" w:rsidP="00BF37CF">
      <w:pPr>
        <w:widowControl w:val="0"/>
        <w:spacing w:after="160" w:line="25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Vzhľadom na uvedené </w:t>
      </w:r>
      <w:r w:rsidR="00EF792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dôvody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verejný obstarávateľ rozhodol o </w:t>
      </w:r>
      <w:r w:rsidR="00EF792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nerozdelení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zákazku na časti</w:t>
      </w:r>
      <w:r w:rsidR="009F74A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</w:p>
    <w:p w14:paraId="39D7D468" w14:textId="77777777" w:rsidR="009F74AB" w:rsidRDefault="009F74AB" w:rsidP="003F25DA">
      <w:pPr>
        <w:widowControl w:val="0"/>
        <w:spacing w:after="160" w:line="254" w:lineRule="exact"/>
        <w:ind w:left="2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8574A2E" w14:textId="77777777" w:rsidR="009F74AB" w:rsidRDefault="009F74AB" w:rsidP="003F25DA">
      <w:pPr>
        <w:widowControl w:val="0"/>
        <w:spacing w:after="160" w:line="254" w:lineRule="exact"/>
        <w:ind w:left="2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3F1E71" w14:textId="77777777" w:rsidR="00F00576" w:rsidRDefault="00F00576" w:rsidP="00410630">
      <w:pPr>
        <w:widowControl w:val="0"/>
        <w:spacing w:after="160" w:line="254" w:lineRule="exact"/>
        <w:ind w:left="2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4C60A354" w14:textId="77777777" w:rsidR="00F00576" w:rsidRDefault="00F00576" w:rsidP="00410630">
      <w:pPr>
        <w:widowControl w:val="0"/>
        <w:spacing w:after="160" w:line="254" w:lineRule="exact"/>
        <w:ind w:left="2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sectPr w:rsidR="00F00576" w:rsidSect="00072CD1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E1CE" w14:textId="77777777" w:rsidR="00AC5032" w:rsidRDefault="00AC5032" w:rsidP="0049242F">
      <w:r>
        <w:separator/>
      </w:r>
    </w:p>
  </w:endnote>
  <w:endnote w:type="continuationSeparator" w:id="0">
    <w:p w14:paraId="1852E660" w14:textId="77777777" w:rsidR="00AC5032" w:rsidRDefault="00AC5032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8E19" w14:textId="77777777" w:rsidR="00AC5032" w:rsidRDefault="00AC5032" w:rsidP="0049242F">
      <w:r>
        <w:separator/>
      </w:r>
    </w:p>
  </w:footnote>
  <w:footnote w:type="continuationSeparator" w:id="0">
    <w:p w14:paraId="4CCAE99A" w14:textId="77777777" w:rsidR="00AC5032" w:rsidRDefault="00AC5032" w:rsidP="0049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A3005"/>
    <w:multiLevelType w:val="hybridMultilevel"/>
    <w:tmpl w:val="F4DE6D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00C3A"/>
    <w:rsid w:val="00004040"/>
    <w:rsid w:val="000115BD"/>
    <w:rsid w:val="0001338F"/>
    <w:rsid w:val="00026153"/>
    <w:rsid w:val="000367CA"/>
    <w:rsid w:val="000508D7"/>
    <w:rsid w:val="00063CB1"/>
    <w:rsid w:val="00072CD1"/>
    <w:rsid w:val="000735CF"/>
    <w:rsid w:val="00073A25"/>
    <w:rsid w:val="0008610D"/>
    <w:rsid w:val="000C52C7"/>
    <w:rsid w:val="000D0248"/>
    <w:rsid w:val="000F1931"/>
    <w:rsid w:val="000F1A68"/>
    <w:rsid w:val="000F46C6"/>
    <w:rsid w:val="00120769"/>
    <w:rsid w:val="00127240"/>
    <w:rsid w:val="00131D60"/>
    <w:rsid w:val="00145BD0"/>
    <w:rsid w:val="0015397B"/>
    <w:rsid w:val="00170E4A"/>
    <w:rsid w:val="00170EC3"/>
    <w:rsid w:val="00173DE0"/>
    <w:rsid w:val="00175310"/>
    <w:rsid w:val="00176405"/>
    <w:rsid w:val="00183F14"/>
    <w:rsid w:val="001952FC"/>
    <w:rsid w:val="0019679C"/>
    <w:rsid w:val="001A01A7"/>
    <w:rsid w:val="001A388B"/>
    <w:rsid w:val="001A73C5"/>
    <w:rsid w:val="001D4A4D"/>
    <w:rsid w:val="001F7300"/>
    <w:rsid w:val="00212AD5"/>
    <w:rsid w:val="00216318"/>
    <w:rsid w:val="00243694"/>
    <w:rsid w:val="00295979"/>
    <w:rsid w:val="002D2E93"/>
    <w:rsid w:val="002D5738"/>
    <w:rsid w:val="002E261C"/>
    <w:rsid w:val="002E54F8"/>
    <w:rsid w:val="002F0967"/>
    <w:rsid w:val="003152B5"/>
    <w:rsid w:val="00327666"/>
    <w:rsid w:val="003309F3"/>
    <w:rsid w:val="003553B8"/>
    <w:rsid w:val="00367C30"/>
    <w:rsid w:val="00370BAD"/>
    <w:rsid w:val="00382DF2"/>
    <w:rsid w:val="00390D9A"/>
    <w:rsid w:val="003C2343"/>
    <w:rsid w:val="003C79C7"/>
    <w:rsid w:val="003D571C"/>
    <w:rsid w:val="003F25DA"/>
    <w:rsid w:val="003F3BD5"/>
    <w:rsid w:val="00403FA2"/>
    <w:rsid w:val="00410630"/>
    <w:rsid w:val="004136E2"/>
    <w:rsid w:val="004173F3"/>
    <w:rsid w:val="0042654B"/>
    <w:rsid w:val="0044536C"/>
    <w:rsid w:val="0045569F"/>
    <w:rsid w:val="00467F44"/>
    <w:rsid w:val="004775EE"/>
    <w:rsid w:val="00482DD9"/>
    <w:rsid w:val="00491874"/>
    <w:rsid w:val="0049242F"/>
    <w:rsid w:val="004A7BCE"/>
    <w:rsid w:val="004B34C2"/>
    <w:rsid w:val="004B43E7"/>
    <w:rsid w:val="004B6F29"/>
    <w:rsid w:val="004D203B"/>
    <w:rsid w:val="004F601B"/>
    <w:rsid w:val="00514AC0"/>
    <w:rsid w:val="00530D3B"/>
    <w:rsid w:val="005318FB"/>
    <w:rsid w:val="005524EB"/>
    <w:rsid w:val="005612D8"/>
    <w:rsid w:val="00564165"/>
    <w:rsid w:val="00581387"/>
    <w:rsid w:val="00597690"/>
    <w:rsid w:val="005B12B8"/>
    <w:rsid w:val="005B4424"/>
    <w:rsid w:val="005C3DB4"/>
    <w:rsid w:val="005C7F1A"/>
    <w:rsid w:val="005D46EB"/>
    <w:rsid w:val="005D7B01"/>
    <w:rsid w:val="005E30BF"/>
    <w:rsid w:val="005E74BF"/>
    <w:rsid w:val="00610111"/>
    <w:rsid w:val="00632526"/>
    <w:rsid w:val="00632677"/>
    <w:rsid w:val="0063418B"/>
    <w:rsid w:val="00681BB9"/>
    <w:rsid w:val="00682D63"/>
    <w:rsid w:val="00685E06"/>
    <w:rsid w:val="006A7076"/>
    <w:rsid w:val="006B2646"/>
    <w:rsid w:val="006C18D0"/>
    <w:rsid w:val="006D12DE"/>
    <w:rsid w:val="006D500A"/>
    <w:rsid w:val="006E0B43"/>
    <w:rsid w:val="0070332E"/>
    <w:rsid w:val="00706DD3"/>
    <w:rsid w:val="00710D0E"/>
    <w:rsid w:val="0075199B"/>
    <w:rsid w:val="00754FF0"/>
    <w:rsid w:val="007673FA"/>
    <w:rsid w:val="0077421C"/>
    <w:rsid w:val="0079705A"/>
    <w:rsid w:val="007A78F8"/>
    <w:rsid w:val="007C0B63"/>
    <w:rsid w:val="007D079B"/>
    <w:rsid w:val="007D329C"/>
    <w:rsid w:val="007F4B61"/>
    <w:rsid w:val="00831BDC"/>
    <w:rsid w:val="00844144"/>
    <w:rsid w:val="00871018"/>
    <w:rsid w:val="0087349F"/>
    <w:rsid w:val="008735BD"/>
    <w:rsid w:val="00875A7F"/>
    <w:rsid w:val="00881603"/>
    <w:rsid w:val="008839E8"/>
    <w:rsid w:val="00885296"/>
    <w:rsid w:val="00887860"/>
    <w:rsid w:val="0089644A"/>
    <w:rsid w:val="008973FC"/>
    <w:rsid w:val="008A2AD2"/>
    <w:rsid w:val="008A2D3A"/>
    <w:rsid w:val="008B60B2"/>
    <w:rsid w:val="008D7516"/>
    <w:rsid w:val="008E2C94"/>
    <w:rsid w:val="008F1BDA"/>
    <w:rsid w:val="00911F1E"/>
    <w:rsid w:val="009267E7"/>
    <w:rsid w:val="0094492D"/>
    <w:rsid w:val="00962721"/>
    <w:rsid w:val="0096275B"/>
    <w:rsid w:val="00964F41"/>
    <w:rsid w:val="0097440C"/>
    <w:rsid w:val="00977CF5"/>
    <w:rsid w:val="00985AED"/>
    <w:rsid w:val="009B3F9F"/>
    <w:rsid w:val="009D061C"/>
    <w:rsid w:val="009D7987"/>
    <w:rsid w:val="009E25C2"/>
    <w:rsid w:val="009F74AB"/>
    <w:rsid w:val="00A039D5"/>
    <w:rsid w:val="00A044E9"/>
    <w:rsid w:val="00A04E9D"/>
    <w:rsid w:val="00A118C6"/>
    <w:rsid w:val="00A17434"/>
    <w:rsid w:val="00A37E1F"/>
    <w:rsid w:val="00A4354F"/>
    <w:rsid w:val="00A43DA6"/>
    <w:rsid w:val="00AA4B73"/>
    <w:rsid w:val="00AA6D05"/>
    <w:rsid w:val="00AA76D7"/>
    <w:rsid w:val="00AC1F57"/>
    <w:rsid w:val="00AC5032"/>
    <w:rsid w:val="00AE54D6"/>
    <w:rsid w:val="00B20AB5"/>
    <w:rsid w:val="00B42850"/>
    <w:rsid w:val="00B44C5D"/>
    <w:rsid w:val="00B625B7"/>
    <w:rsid w:val="00B73034"/>
    <w:rsid w:val="00B90F6E"/>
    <w:rsid w:val="00B9765B"/>
    <w:rsid w:val="00BA4715"/>
    <w:rsid w:val="00BC532B"/>
    <w:rsid w:val="00BC7BD9"/>
    <w:rsid w:val="00BD2A49"/>
    <w:rsid w:val="00BE6AE7"/>
    <w:rsid w:val="00BF37CF"/>
    <w:rsid w:val="00BF6AA7"/>
    <w:rsid w:val="00C0029C"/>
    <w:rsid w:val="00C01135"/>
    <w:rsid w:val="00C03C4C"/>
    <w:rsid w:val="00C03D4D"/>
    <w:rsid w:val="00C14B74"/>
    <w:rsid w:val="00C20C5F"/>
    <w:rsid w:val="00C26D09"/>
    <w:rsid w:val="00C37B9D"/>
    <w:rsid w:val="00C405E5"/>
    <w:rsid w:val="00C5125B"/>
    <w:rsid w:val="00C51D82"/>
    <w:rsid w:val="00C57765"/>
    <w:rsid w:val="00C863D7"/>
    <w:rsid w:val="00C9504A"/>
    <w:rsid w:val="00C975DD"/>
    <w:rsid w:val="00CB2A00"/>
    <w:rsid w:val="00CB5126"/>
    <w:rsid w:val="00CC4321"/>
    <w:rsid w:val="00CE627A"/>
    <w:rsid w:val="00CF6E24"/>
    <w:rsid w:val="00D04359"/>
    <w:rsid w:val="00D20BD5"/>
    <w:rsid w:val="00D32088"/>
    <w:rsid w:val="00D67FD6"/>
    <w:rsid w:val="00D76161"/>
    <w:rsid w:val="00D90933"/>
    <w:rsid w:val="00D94920"/>
    <w:rsid w:val="00DB6CA4"/>
    <w:rsid w:val="00E051CC"/>
    <w:rsid w:val="00E1277B"/>
    <w:rsid w:val="00E1642D"/>
    <w:rsid w:val="00E41815"/>
    <w:rsid w:val="00E62F84"/>
    <w:rsid w:val="00E83277"/>
    <w:rsid w:val="00EA2A12"/>
    <w:rsid w:val="00EB076D"/>
    <w:rsid w:val="00EB59A7"/>
    <w:rsid w:val="00EC065C"/>
    <w:rsid w:val="00ED206F"/>
    <w:rsid w:val="00EE2DAB"/>
    <w:rsid w:val="00EF7929"/>
    <w:rsid w:val="00F00576"/>
    <w:rsid w:val="00F07842"/>
    <w:rsid w:val="00F50889"/>
    <w:rsid w:val="00F77587"/>
    <w:rsid w:val="00F813C0"/>
    <w:rsid w:val="00F86310"/>
    <w:rsid w:val="00F920E7"/>
    <w:rsid w:val="00FA3CA1"/>
    <w:rsid w:val="00FB7475"/>
    <w:rsid w:val="00FD52EC"/>
    <w:rsid w:val="00FE6E36"/>
    <w:rsid w:val="00FF0E25"/>
    <w:rsid w:val="00FF1ED8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7C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7CF5"/>
    <w:rPr>
      <w:rFonts w:ascii="Segoe UI" w:eastAsia="Calibri" w:hAnsi="Segoe UI" w:cs="Segoe UI"/>
      <w:sz w:val="18"/>
      <w:szCs w:val="18"/>
      <w:lang w:eastAsia="sk-SK"/>
    </w:rPr>
  </w:style>
  <w:style w:type="paragraph" w:customStyle="1" w:styleId="xxmsonormal">
    <w:name w:val="x_x_msonormal"/>
    <w:basedOn w:val="Normlny"/>
    <w:rsid w:val="001A73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Jamnická Zuzana, JUDr.</cp:lastModifiedBy>
  <cp:revision>214</cp:revision>
  <dcterms:created xsi:type="dcterms:W3CDTF">2021-01-16T15:34:00Z</dcterms:created>
  <dcterms:modified xsi:type="dcterms:W3CDTF">2021-05-05T16:14:00Z</dcterms:modified>
</cp:coreProperties>
</file>