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r w:rsidRPr="00FE3A68">
        <w:rPr>
          <w:b/>
          <w:sz w:val="24"/>
          <w:szCs w:val="24"/>
        </w:rPr>
        <w:t xml:space="preserve">S M L O U V A   O   D Í L O </w:t>
      </w:r>
    </w:p>
    <w:p w:rsidR="00EC0B78" w:rsidRPr="00EC0B78" w:rsidRDefault="00EC0B78" w:rsidP="00AB3102">
      <w:pPr>
        <w:jc w:val="center"/>
        <w:rPr>
          <w:b/>
          <w:sz w:val="16"/>
          <w:szCs w:val="16"/>
        </w:rPr>
      </w:pPr>
    </w:p>
    <w:p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rsidR="00744A50" w:rsidRPr="00547139" w:rsidRDefault="00744A50" w:rsidP="00B8022C">
      <w:pPr>
        <w:numPr>
          <w:ilvl w:val="0"/>
          <w:numId w:val="24"/>
        </w:numPr>
        <w:spacing w:after="240"/>
        <w:ind w:left="357" w:hanging="357"/>
        <w:jc w:val="center"/>
        <w:rPr>
          <w:b/>
          <w:sz w:val="18"/>
          <w:szCs w:val="18"/>
        </w:rPr>
      </w:pPr>
      <w:r w:rsidRPr="00547139">
        <w:rPr>
          <w:b/>
          <w:sz w:val="18"/>
          <w:szCs w:val="18"/>
        </w:rPr>
        <w:t>Smluvní strany</w:t>
      </w:r>
    </w:p>
    <w:p w:rsidR="00EC0B78" w:rsidRPr="00547139" w:rsidRDefault="00EC0B78" w:rsidP="00B8022C">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rsidR="00EC0B78" w:rsidRPr="00547139" w:rsidRDefault="00EC0B78" w:rsidP="00CE6B77">
      <w:pPr>
        <w:tabs>
          <w:tab w:val="left" w:pos="2977"/>
        </w:tabs>
        <w:jc w:val="both"/>
        <w:rPr>
          <w:sz w:val="18"/>
          <w:szCs w:val="18"/>
        </w:rPr>
      </w:pPr>
      <w:r w:rsidRPr="00547139">
        <w:rPr>
          <w:sz w:val="18"/>
          <w:szCs w:val="18"/>
        </w:rPr>
        <w:t>se sídlem:</w:t>
      </w:r>
      <w:r w:rsidR="00CE6B77">
        <w:rPr>
          <w:sz w:val="18"/>
          <w:szCs w:val="18"/>
        </w:rPr>
        <w:tab/>
      </w:r>
      <w:r w:rsidRPr="00547139">
        <w:rPr>
          <w:sz w:val="18"/>
          <w:szCs w:val="18"/>
        </w:rPr>
        <w:t>Nádražní 994/20, 792 01 Bruntál</w:t>
      </w:r>
    </w:p>
    <w:p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IČ / DIČ:</w:t>
      </w:r>
      <w:r w:rsidR="00CE6B77">
        <w:rPr>
          <w:rFonts w:ascii="Arial" w:hAnsi="Arial" w:cs="Arial"/>
          <w:sz w:val="18"/>
          <w:szCs w:val="18"/>
        </w:rPr>
        <w:tab/>
      </w:r>
      <w:r w:rsidRPr="00547139">
        <w:rPr>
          <w:rFonts w:ascii="Arial" w:hAnsi="Arial" w:cs="Arial"/>
          <w:sz w:val="18"/>
          <w:szCs w:val="18"/>
        </w:rPr>
        <w:t>00295892 / CZ00295892</w:t>
      </w:r>
    </w:p>
    <w:p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jednající / zastoupený</w:t>
      </w:r>
      <w:r w:rsidR="00CE6B77">
        <w:rPr>
          <w:rFonts w:ascii="Arial" w:hAnsi="Arial" w:cs="Arial"/>
          <w:sz w:val="18"/>
          <w:szCs w:val="18"/>
        </w:rPr>
        <w:tab/>
      </w:r>
    </w:p>
    <w:p w:rsidR="00EC0B78" w:rsidRPr="00547139" w:rsidRDefault="00CE6B77"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r>
      <w:r w:rsidR="00EC0B78" w:rsidRPr="00547139">
        <w:rPr>
          <w:rFonts w:ascii="Arial" w:hAnsi="Arial" w:cs="Arial"/>
          <w:sz w:val="18"/>
          <w:szCs w:val="18"/>
        </w:rPr>
        <w:t xml:space="preserve">Ing. </w:t>
      </w:r>
      <w:r w:rsidR="00AC2033" w:rsidRPr="00547139">
        <w:rPr>
          <w:rFonts w:ascii="Arial" w:hAnsi="Arial" w:cs="Arial"/>
          <w:sz w:val="18"/>
          <w:szCs w:val="18"/>
        </w:rPr>
        <w:t>Hana Šutovská, 1. místo</w:t>
      </w:r>
      <w:r w:rsidR="00EC0B78" w:rsidRPr="00547139">
        <w:rPr>
          <w:rFonts w:ascii="Arial" w:hAnsi="Arial" w:cs="Arial"/>
          <w:sz w:val="18"/>
          <w:szCs w:val="18"/>
        </w:rPr>
        <w:t>starost</w:t>
      </w:r>
      <w:r w:rsidR="00AC2033" w:rsidRPr="00547139">
        <w:rPr>
          <w:rFonts w:ascii="Arial" w:hAnsi="Arial" w:cs="Arial"/>
          <w:sz w:val="18"/>
          <w:szCs w:val="18"/>
        </w:rPr>
        <w:t>k</w:t>
      </w:r>
      <w:r w:rsidR="00EC0B78" w:rsidRPr="00547139">
        <w:rPr>
          <w:rFonts w:ascii="Arial" w:hAnsi="Arial" w:cs="Arial"/>
          <w:sz w:val="18"/>
          <w:szCs w:val="18"/>
        </w:rPr>
        <w:t>a města</w:t>
      </w:r>
    </w:p>
    <w:p w:rsidR="00EC0B78" w:rsidRPr="00547139" w:rsidRDefault="00EC0B78" w:rsidP="00CE6B77">
      <w:pPr>
        <w:pStyle w:val="Standardntext"/>
        <w:tabs>
          <w:tab w:val="left" w:pos="2977"/>
        </w:tabs>
        <w:spacing w:line="240" w:lineRule="auto"/>
        <w:ind w:firstLine="708"/>
        <w:rPr>
          <w:rFonts w:ascii="Arial" w:hAnsi="Arial" w:cs="Arial"/>
          <w:sz w:val="18"/>
          <w:szCs w:val="18"/>
        </w:rPr>
      </w:pPr>
      <w:r w:rsidRPr="00547139">
        <w:rPr>
          <w:rFonts w:ascii="Arial" w:hAnsi="Arial" w:cs="Arial"/>
          <w:sz w:val="18"/>
          <w:szCs w:val="18"/>
        </w:rPr>
        <w:t>- ve věcech technických:</w:t>
      </w:r>
      <w:r w:rsidR="00CE6B77">
        <w:rPr>
          <w:rFonts w:ascii="Arial" w:hAnsi="Arial" w:cs="Arial"/>
          <w:sz w:val="18"/>
          <w:szCs w:val="18"/>
        </w:rPr>
        <w:tab/>
      </w:r>
      <w:r w:rsidRPr="00547139">
        <w:rPr>
          <w:rFonts w:ascii="Arial" w:hAnsi="Arial" w:cs="Arial"/>
          <w:sz w:val="18"/>
          <w:szCs w:val="18"/>
          <w:lang w:val="en-US"/>
        </w:rPr>
        <w:t xml:space="preserve">Ing. </w:t>
      </w:r>
      <w:r w:rsidR="00E86F78" w:rsidRPr="00547139">
        <w:rPr>
          <w:rFonts w:ascii="Arial" w:hAnsi="Arial" w:cs="Arial"/>
          <w:sz w:val="18"/>
          <w:szCs w:val="18"/>
          <w:lang w:val="en-US"/>
        </w:rPr>
        <w:t>Pavel Juříček</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rsidR="00EC0B78" w:rsidRPr="00547139" w:rsidRDefault="00EC0B78" w:rsidP="00EC0B78">
      <w:pPr>
        <w:pStyle w:val="Standardntext"/>
        <w:spacing w:line="240" w:lineRule="auto"/>
        <w:ind w:firstLine="708"/>
        <w:rPr>
          <w:rFonts w:ascii="Arial" w:hAnsi="Arial" w:cs="Arial"/>
          <w:sz w:val="18"/>
          <w:szCs w:val="18"/>
        </w:rPr>
      </w:pPr>
    </w:p>
    <w:p w:rsidR="00CE6B77"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bankovní spojení:</w:t>
      </w:r>
      <w:r w:rsidR="00CE6B77">
        <w:rPr>
          <w:rFonts w:ascii="Arial" w:hAnsi="Arial" w:cs="Arial"/>
          <w:sz w:val="18"/>
          <w:szCs w:val="18"/>
        </w:rPr>
        <w:tab/>
      </w:r>
      <w:r w:rsidRPr="00547139">
        <w:rPr>
          <w:rFonts w:ascii="Arial" w:hAnsi="Arial" w:cs="Arial"/>
          <w:sz w:val="18"/>
          <w:szCs w:val="18"/>
        </w:rPr>
        <w:t>Komerční banka a.s., Bruntál, 525771/0100</w:t>
      </w:r>
    </w:p>
    <w:p w:rsidR="00CE6B77" w:rsidRPr="00CE6B77" w:rsidRDefault="00CE6B77" w:rsidP="00CE6B77">
      <w:pPr>
        <w:pStyle w:val="Standardntext"/>
        <w:tabs>
          <w:tab w:val="left" w:pos="2977"/>
        </w:tabs>
        <w:spacing w:line="240" w:lineRule="auto"/>
        <w:rPr>
          <w:rFonts w:ascii="Arial" w:hAnsi="Arial" w:cs="Arial"/>
          <w:sz w:val="18"/>
          <w:szCs w:val="18"/>
        </w:rPr>
      </w:pPr>
      <w:r w:rsidRPr="00CE6B77">
        <w:rPr>
          <w:rFonts w:ascii="Arial" w:hAnsi="Arial" w:cs="Arial"/>
          <w:sz w:val="18"/>
          <w:szCs w:val="18"/>
        </w:rPr>
        <w:t>datová schránka – ID:</w:t>
      </w:r>
      <w:r w:rsidRPr="00CE6B77">
        <w:rPr>
          <w:rFonts w:ascii="Arial" w:hAnsi="Arial" w:cs="Arial"/>
          <w:sz w:val="18"/>
          <w:szCs w:val="18"/>
        </w:rPr>
        <w:tab/>
      </w:r>
      <w:r w:rsidRPr="00CE6B77">
        <w:rPr>
          <w:rFonts w:ascii="Arial" w:hAnsi="Arial" w:cs="Arial"/>
          <w:color w:val="444444"/>
          <w:sz w:val="18"/>
          <w:szCs w:val="18"/>
          <w:shd w:val="clear" w:color="auto" w:fill="FFFFFF"/>
        </w:rPr>
        <w:t>c9vbr2k</w:t>
      </w:r>
    </w:p>
    <w:p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telefon / fax:</w:t>
      </w:r>
      <w:r w:rsidR="00CE6B77">
        <w:rPr>
          <w:rFonts w:ascii="Arial" w:hAnsi="Arial" w:cs="Arial"/>
          <w:sz w:val="18"/>
          <w:szCs w:val="18"/>
        </w:rPr>
        <w:tab/>
      </w:r>
      <w:r w:rsidRPr="00547139">
        <w:rPr>
          <w:rFonts w:ascii="Arial" w:hAnsi="Arial" w:cs="Arial"/>
          <w:sz w:val="18"/>
          <w:szCs w:val="18"/>
        </w:rPr>
        <w:t>+420 554 706 111</w:t>
      </w:r>
    </w:p>
    <w:p w:rsidR="00EC0B78" w:rsidRPr="00547139" w:rsidRDefault="00EC0B78" w:rsidP="00CE6B77">
      <w:pPr>
        <w:tabs>
          <w:tab w:val="left" w:pos="2977"/>
        </w:tabs>
        <w:jc w:val="both"/>
        <w:rPr>
          <w:sz w:val="18"/>
          <w:szCs w:val="18"/>
        </w:rPr>
      </w:pPr>
      <w:r w:rsidRPr="00547139">
        <w:rPr>
          <w:sz w:val="18"/>
          <w:szCs w:val="18"/>
        </w:rPr>
        <w:t>e-mail:</w:t>
      </w:r>
      <w:r w:rsidRPr="00547139">
        <w:rPr>
          <w:sz w:val="18"/>
          <w:szCs w:val="18"/>
        </w:rPr>
        <w:tab/>
      </w:r>
      <w:hyperlink r:id="rId8" w:history="1">
        <w:r w:rsidRPr="00547139">
          <w:rPr>
            <w:rStyle w:val="Hypertextovodkaz"/>
            <w:sz w:val="18"/>
            <w:szCs w:val="18"/>
          </w:rPr>
          <w:t>posta@mubruntal.cz</w:t>
        </w:r>
      </w:hyperlink>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B8022C">
      <w:pPr>
        <w:pStyle w:val="Standardntext"/>
        <w:numPr>
          <w:ilvl w:val="0"/>
          <w:numId w:val="28"/>
        </w:numPr>
        <w:spacing w:line="240" w:lineRule="auto"/>
        <w:rPr>
          <w:rFonts w:ascii="Arial" w:hAnsi="Arial" w:cs="Arial"/>
          <w:b/>
          <w:sz w:val="18"/>
          <w:szCs w:val="18"/>
          <w:highlight w:val="lightGray"/>
        </w:rPr>
      </w:pPr>
      <w:r w:rsidRPr="00547139">
        <w:rPr>
          <w:rFonts w:ascii="Arial" w:hAnsi="Arial" w:cs="Arial"/>
          <w:b/>
          <w:sz w:val="18"/>
          <w:szCs w:val="18"/>
          <w:highlight w:val="lightGray"/>
          <w:u w:val="single"/>
        </w:rPr>
        <w:t>Zhotovitel:</w:t>
      </w:r>
      <w:r w:rsidRPr="00547139">
        <w:rPr>
          <w:rFonts w:ascii="Arial" w:hAnsi="Arial" w:cs="Arial"/>
          <w:b/>
          <w:sz w:val="18"/>
          <w:szCs w:val="18"/>
          <w:highlight w:val="lightGray"/>
        </w:rPr>
        <w:t xml:space="preserve">  </w:t>
      </w:r>
    </w:p>
    <w:p w:rsidR="00EC0B78" w:rsidRPr="00547139" w:rsidRDefault="00EC0B78" w:rsidP="00EC0B78">
      <w:pPr>
        <w:pStyle w:val="Standardntext"/>
        <w:spacing w:line="240" w:lineRule="auto"/>
        <w:rPr>
          <w:rFonts w:ascii="Arial" w:hAnsi="Arial" w:cs="Arial"/>
          <w:b/>
          <w:sz w:val="18"/>
          <w:szCs w:val="18"/>
          <w:highlight w:val="lightGray"/>
        </w:rPr>
      </w:pPr>
    </w:p>
    <w:p w:rsidR="00EC0B78" w:rsidRPr="00547139" w:rsidRDefault="00EC0B78" w:rsidP="00EC0B78">
      <w:pPr>
        <w:pStyle w:val="Standardntext"/>
        <w:spacing w:line="240" w:lineRule="auto"/>
        <w:rPr>
          <w:rFonts w:ascii="Arial" w:hAnsi="Arial" w:cs="Arial"/>
          <w:b/>
          <w:sz w:val="18"/>
          <w:szCs w:val="18"/>
          <w:highlight w:val="lightGray"/>
        </w:rPr>
      </w:pPr>
      <w:r w:rsidRPr="00547139">
        <w:rPr>
          <w:rFonts w:ascii="Arial" w:hAnsi="Arial" w:cs="Arial"/>
          <w:b/>
          <w:sz w:val="18"/>
          <w:szCs w:val="18"/>
          <w:highlight w:val="lightGray"/>
        </w:rPr>
        <w:t>Název zhotovitele</w:t>
      </w:r>
    </w:p>
    <w:p w:rsidR="00EC0B78" w:rsidRPr="00547139" w:rsidRDefault="00EC0B78" w:rsidP="00CE6B77">
      <w:pPr>
        <w:pStyle w:val="Standardntext"/>
        <w:tabs>
          <w:tab w:val="left" w:pos="2977"/>
        </w:tabs>
        <w:spacing w:line="240" w:lineRule="auto"/>
        <w:rPr>
          <w:rFonts w:ascii="Arial" w:hAnsi="Arial" w:cs="Arial"/>
          <w:sz w:val="18"/>
          <w:szCs w:val="18"/>
          <w:highlight w:val="lightGray"/>
        </w:rPr>
      </w:pPr>
      <w:r w:rsidRPr="00547139">
        <w:rPr>
          <w:rFonts w:ascii="Arial" w:hAnsi="Arial" w:cs="Arial"/>
          <w:sz w:val="18"/>
          <w:szCs w:val="18"/>
          <w:highlight w:val="lightGray"/>
        </w:rPr>
        <w:t>se sídlem:</w:t>
      </w:r>
      <w:r w:rsidR="00CE6B77">
        <w:rPr>
          <w:rFonts w:ascii="Arial" w:hAnsi="Arial" w:cs="Arial"/>
          <w:sz w:val="18"/>
          <w:szCs w:val="18"/>
          <w:highlight w:val="lightGray"/>
        </w:rPr>
        <w:tab/>
      </w:r>
    </w:p>
    <w:p w:rsidR="00EC0B78" w:rsidRPr="00547139" w:rsidRDefault="00EC0B78" w:rsidP="00CE6B77">
      <w:pPr>
        <w:pStyle w:val="Standardntext"/>
        <w:tabs>
          <w:tab w:val="left" w:pos="2977"/>
        </w:tabs>
        <w:spacing w:line="240" w:lineRule="auto"/>
        <w:rPr>
          <w:rFonts w:ascii="Arial" w:hAnsi="Arial" w:cs="Arial"/>
          <w:sz w:val="18"/>
          <w:szCs w:val="18"/>
          <w:highlight w:val="lightGray"/>
        </w:rPr>
      </w:pPr>
      <w:r w:rsidRPr="00547139">
        <w:rPr>
          <w:rFonts w:ascii="Arial" w:hAnsi="Arial" w:cs="Arial"/>
          <w:sz w:val="18"/>
          <w:szCs w:val="18"/>
          <w:highlight w:val="lightGray"/>
        </w:rPr>
        <w:t>IČ / DIČ:</w:t>
      </w:r>
      <w:r w:rsidR="00CE6B77">
        <w:rPr>
          <w:rFonts w:ascii="Arial" w:hAnsi="Arial" w:cs="Arial"/>
          <w:sz w:val="18"/>
          <w:szCs w:val="18"/>
          <w:highlight w:val="lightGray"/>
        </w:rPr>
        <w:tab/>
      </w:r>
    </w:p>
    <w:p w:rsidR="00EC0B78" w:rsidRPr="00547139" w:rsidRDefault="00EC0B78" w:rsidP="00CE6B77">
      <w:pPr>
        <w:pStyle w:val="Standardntext"/>
        <w:tabs>
          <w:tab w:val="left" w:pos="2977"/>
        </w:tabs>
        <w:spacing w:line="240" w:lineRule="auto"/>
        <w:rPr>
          <w:rFonts w:ascii="Arial" w:hAnsi="Arial" w:cs="Arial"/>
          <w:sz w:val="18"/>
          <w:szCs w:val="18"/>
          <w:highlight w:val="lightGray"/>
        </w:rPr>
      </w:pPr>
      <w:r w:rsidRPr="00547139">
        <w:rPr>
          <w:rFonts w:ascii="Arial" w:hAnsi="Arial" w:cs="Arial"/>
          <w:sz w:val="18"/>
          <w:szCs w:val="18"/>
          <w:highlight w:val="lightGray"/>
        </w:rPr>
        <w:t>jednající / zastoupený:</w:t>
      </w:r>
      <w:r w:rsidR="00CE6B77">
        <w:rPr>
          <w:rFonts w:ascii="Arial" w:hAnsi="Arial" w:cs="Arial"/>
          <w:sz w:val="18"/>
          <w:szCs w:val="18"/>
          <w:highlight w:val="lightGray"/>
        </w:rPr>
        <w:tab/>
      </w:r>
    </w:p>
    <w:p w:rsidR="00EC0B78" w:rsidRPr="00547139" w:rsidRDefault="00CE6B77" w:rsidP="00CE6B77">
      <w:pPr>
        <w:pStyle w:val="Standardntext"/>
        <w:numPr>
          <w:ilvl w:val="0"/>
          <w:numId w:val="27"/>
        </w:numPr>
        <w:tabs>
          <w:tab w:val="left" w:pos="2977"/>
        </w:tabs>
        <w:spacing w:line="240" w:lineRule="auto"/>
        <w:rPr>
          <w:rFonts w:ascii="Arial" w:hAnsi="Arial" w:cs="Arial"/>
          <w:sz w:val="18"/>
          <w:szCs w:val="18"/>
          <w:highlight w:val="lightGray"/>
        </w:rPr>
      </w:pPr>
      <w:r>
        <w:rPr>
          <w:rFonts w:ascii="Arial" w:hAnsi="Arial" w:cs="Arial"/>
          <w:sz w:val="18"/>
          <w:szCs w:val="18"/>
          <w:highlight w:val="lightGray"/>
        </w:rPr>
        <w:t>ve věcech smluvních:</w:t>
      </w:r>
      <w:r>
        <w:rPr>
          <w:rFonts w:ascii="Arial" w:hAnsi="Arial" w:cs="Arial"/>
          <w:sz w:val="18"/>
          <w:szCs w:val="18"/>
          <w:highlight w:val="lightGray"/>
        </w:rPr>
        <w:tab/>
      </w:r>
    </w:p>
    <w:p w:rsidR="00EC0B78" w:rsidRPr="00547139" w:rsidRDefault="00EC0B78" w:rsidP="00B8022C">
      <w:pPr>
        <w:pStyle w:val="Standardntext"/>
        <w:numPr>
          <w:ilvl w:val="0"/>
          <w:numId w:val="27"/>
        </w:numPr>
        <w:spacing w:line="240" w:lineRule="auto"/>
        <w:rPr>
          <w:rFonts w:ascii="Arial" w:hAnsi="Arial" w:cs="Arial"/>
          <w:sz w:val="18"/>
          <w:szCs w:val="18"/>
          <w:highlight w:val="lightGray"/>
        </w:rPr>
      </w:pPr>
      <w:r w:rsidRPr="00547139">
        <w:rPr>
          <w:rFonts w:ascii="Arial" w:hAnsi="Arial" w:cs="Arial"/>
          <w:sz w:val="18"/>
          <w:szCs w:val="18"/>
          <w:highlight w:val="lightGray"/>
        </w:rPr>
        <w:t>ve věcech technických:</w:t>
      </w:r>
      <w:r w:rsidRPr="00547139">
        <w:rPr>
          <w:rFonts w:ascii="Arial" w:hAnsi="Arial" w:cs="Arial"/>
          <w:sz w:val="18"/>
          <w:szCs w:val="18"/>
          <w:highlight w:val="lightGray"/>
        </w:rPr>
        <w:tab/>
      </w:r>
    </w:p>
    <w:p w:rsidR="00EC0B78" w:rsidRPr="00547139" w:rsidRDefault="00CE6B77" w:rsidP="00CE6B77">
      <w:pPr>
        <w:pStyle w:val="Standardntext"/>
        <w:numPr>
          <w:ilvl w:val="0"/>
          <w:numId w:val="27"/>
        </w:numPr>
        <w:tabs>
          <w:tab w:val="left" w:pos="2977"/>
        </w:tabs>
        <w:spacing w:line="240" w:lineRule="auto"/>
        <w:rPr>
          <w:rFonts w:ascii="Arial" w:hAnsi="Arial" w:cs="Arial"/>
          <w:sz w:val="18"/>
          <w:szCs w:val="18"/>
          <w:highlight w:val="lightGray"/>
        </w:rPr>
      </w:pPr>
      <w:r>
        <w:rPr>
          <w:rFonts w:ascii="Arial" w:hAnsi="Arial" w:cs="Arial"/>
          <w:sz w:val="18"/>
          <w:szCs w:val="18"/>
          <w:highlight w:val="lightGray"/>
        </w:rPr>
        <w:t>hlavní stavbyvedoucí:</w:t>
      </w:r>
      <w:r>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registrace:</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bankovní spojení:</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CE6B77" w:rsidRPr="00547139" w:rsidRDefault="00CE6B77" w:rsidP="00CE6B77">
      <w:pPr>
        <w:pStyle w:val="Standardntext"/>
        <w:tabs>
          <w:tab w:val="left" w:pos="2977"/>
        </w:tabs>
        <w:spacing w:line="240" w:lineRule="auto"/>
        <w:rPr>
          <w:rFonts w:ascii="Arial" w:hAnsi="Arial" w:cs="Arial"/>
          <w:sz w:val="18"/>
          <w:szCs w:val="18"/>
          <w:highlight w:val="lightGray"/>
        </w:rPr>
      </w:pPr>
      <w:r>
        <w:rPr>
          <w:rFonts w:ascii="Arial" w:hAnsi="Arial" w:cs="Arial"/>
          <w:sz w:val="18"/>
          <w:szCs w:val="18"/>
          <w:highlight w:val="lightGray"/>
        </w:rPr>
        <w:t>datová schránka – ID:</w:t>
      </w:r>
      <w:r>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telefon / fax:</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highlight w:val="lightGray"/>
        </w:rPr>
        <w:t>e-mail:</w:t>
      </w:r>
      <w:r w:rsidR="00CE6B77">
        <w:rPr>
          <w:rFonts w:ascii="Arial" w:hAnsi="Arial" w:cs="Arial"/>
          <w:sz w:val="18"/>
          <w:szCs w:val="18"/>
        </w:rPr>
        <w:tab/>
      </w:r>
    </w:p>
    <w:p w:rsidR="00CE6B77" w:rsidRPr="00547139" w:rsidRDefault="00CE6B77"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r w:rsidRPr="00547139">
        <w:rPr>
          <w:rFonts w:ascii="Arial" w:hAnsi="Arial" w:cs="Arial"/>
          <w:b/>
          <w:sz w:val="18"/>
          <w:szCs w:val="18"/>
          <w:highlight w:val="lightGray"/>
        </w:rPr>
        <w:t>(BUDE DOPLNĚNO ÚČASTNÍKEM VŘ)</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rsidR="00EC0B78" w:rsidRPr="00547139" w:rsidRDefault="00EC0B78" w:rsidP="00EC0B78">
      <w:pPr>
        <w:pStyle w:val="Standardntext"/>
        <w:spacing w:line="240" w:lineRule="auto"/>
        <w:rPr>
          <w:rFonts w:ascii="Arial" w:hAnsi="Arial" w:cs="Arial"/>
          <w:b/>
          <w:sz w:val="18"/>
          <w:szCs w:val="18"/>
        </w:rPr>
      </w:pPr>
    </w:p>
    <w:p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rsidR="002C6454" w:rsidRPr="00547139" w:rsidRDefault="002C6454" w:rsidP="00436620">
      <w:pPr>
        <w:rPr>
          <w:sz w:val="18"/>
          <w:szCs w:val="18"/>
        </w:rPr>
      </w:pPr>
    </w:p>
    <w:p w:rsidR="002C6454" w:rsidRPr="00547139" w:rsidRDefault="002C6454" w:rsidP="00436620">
      <w:pPr>
        <w:rPr>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Výchozí údaje</w:t>
      </w:r>
    </w:p>
    <w:p w:rsidR="00805336" w:rsidRPr="001C50AB" w:rsidRDefault="00F2448D" w:rsidP="00C451EA">
      <w:pPr>
        <w:pStyle w:val="Default"/>
        <w:tabs>
          <w:tab w:val="left" w:pos="1276"/>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C451EA">
        <w:rPr>
          <w:rFonts w:ascii="Arial" w:hAnsi="Arial" w:cs="Arial"/>
          <w:b/>
          <w:sz w:val="18"/>
          <w:szCs w:val="18"/>
        </w:rPr>
        <w:tab/>
        <w:t>Nemocnice Bruntál – oprava WC pro veřejnost</w:t>
      </w:r>
      <w:r w:rsidR="007E351C">
        <w:rPr>
          <w:rFonts w:ascii="Arial" w:hAnsi="Arial" w:cs="Arial"/>
          <w:b/>
          <w:sz w:val="18"/>
          <w:szCs w:val="18"/>
        </w:rPr>
        <w:t xml:space="preserve">, </w:t>
      </w:r>
      <w:r w:rsidR="0063042A">
        <w:rPr>
          <w:rFonts w:ascii="Arial" w:hAnsi="Arial" w:cs="Arial"/>
          <w:b/>
          <w:sz w:val="18"/>
          <w:szCs w:val="18"/>
        </w:rPr>
        <w:t>WC 4 – 2. NP</w:t>
      </w:r>
    </w:p>
    <w:p w:rsidR="005D6A0E" w:rsidRPr="001C50AB" w:rsidRDefault="00F2448D" w:rsidP="005C3AAA">
      <w:pPr>
        <w:pStyle w:val="Default"/>
        <w:ind w:left="1276" w:hanging="1276"/>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C451EA">
        <w:rPr>
          <w:rFonts w:ascii="Arial" w:hAnsi="Arial" w:cs="Arial"/>
          <w:b/>
          <w:sz w:val="18"/>
          <w:szCs w:val="18"/>
        </w:rPr>
        <w:tab/>
        <w:t xml:space="preserve">Budova nemocnice </w:t>
      </w:r>
      <w:r w:rsidR="00C642C7">
        <w:rPr>
          <w:rFonts w:ascii="Arial" w:hAnsi="Arial" w:cs="Arial"/>
          <w:b/>
          <w:sz w:val="18"/>
          <w:szCs w:val="18"/>
        </w:rPr>
        <w:t xml:space="preserve">Bruntál, </w:t>
      </w:r>
      <w:r w:rsidR="00C451EA">
        <w:rPr>
          <w:rFonts w:ascii="Arial" w:hAnsi="Arial" w:cs="Arial"/>
          <w:b/>
          <w:sz w:val="18"/>
          <w:szCs w:val="18"/>
        </w:rPr>
        <w:t>Nádražní 1589/29</w:t>
      </w:r>
      <w:r w:rsidR="00C642C7">
        <w:rPr>
          <w:rFonts w:ascii="Arial" w:hAnsi="Arial" w:cs="Arial"/>
          <w:b/>
          <w:sz w:val="18"/>
          <w:szCs w:val="18"/>
        </w:rPr>
        <w:t xml:space="preserve">, </w:t>
      </w:r>
      <w:r w:rsidR="001C50AB" w:rsidRPr="001C50AB">
        <w:rPr>
          <w:rFonts w:ascii="Arial" w:hAnsi="Arial" w:cs="Arial"/>
          <w:b/>
          <w:sz w:val="18"/>
          <w:szCs w:val="18"/>
        </w:rPr>
        <w:t xml:space="preserve">na </w:t>
      </w:r>
      <w:r w:rsidR="001C50AB" w:rsidRPr="00C642C7">
        <w:rPr>
          <w:rFonts w:ascii="Arial" w:hAnsi="Arial" w:cs="Arial"/>
          <w:b/>
          <w:sz w:val="18"/>
          <w:szCs w:val="18"/>
        </w:rPr>
        <w:t>pozem</w:t>
      </w:r>
      <w:r w:rsidR="00C642C7" w:rsidRPr="00C642C7">
        <w:rPr>
          <w:rFonts w:ascii="Arial" w:hAnsi="Arial" w:cs="Arial"/>
          <w:b/>
          <w:sz w:val="18"/>
          <w:szCs w:val="18"/>
        </w:rPr>
        <w:t xml:space="preserve">ku </w:t>
      </w:r>
      <w:proofErr w:type="spellStart"/>
      <w:r w:rsidR="00C642C7" w:rsidRPr="00C642C7">
        <w:rPr>
          <w:rFonts w:ascii="Arial" w:hAnsi="Arial" w:cs="Arial"/>
          <w:b/>
          <w:sz w:val="18"/>
          <w:szCs w:val="18"/>
        </w:rPr>
        <w:t>parc</w:t>
      </w:r>
      <w:proofErr w:type="spellEnd"/>
      <w:r w:rsidR="00C642C7" w:rsidRPr="00C642C7">
        <w:rPr>
          <w:rFonts w:ascii="Arial" w:hAnsi="Arial" w:cs="Arial"/>
          <w:b/>
          <w:sz w:val="18"/>
          <w:szCs w:val="18"/>
        </w:rPr>
        <w:t xml:space="preserve">. č. </w:t>
      </w:r>
      <w:r w:rsidR="00C451EA">
        <w:rPr>
          <w:rFonts w:ascii="Arial" w:hAnsi="Arial" w:cs="Arial"/>
          <w:b/>
          <w:sz w:val="18"/>
          <w:szCs w:val="18"/>
        </w:rPr>
        <w:t>4186/1</w:t>
      </w:r>
      <w:r w:rsidR="001C50AB" w:rsidRPr="001C50AB">
        <w:rPr>
          <w:rFonts w:ascii="Arial" w:hAnsi="Arial" w:cs="Arial"/>
          <w:b/>
          <w:sz w:val="18"/>
          <w:szCs w:val="18"/>
        </w:rPr>
        <w:t xml:space="preserve"> v </w:t>
      </w:r>
      <w:proofErr w:type="spellStart"/>
      <w:r w:rsidR="001C50AB" w:rsidRPr="001C50AB">
        <w:rPr>
          <w:rFonts w:ascii="Arial" w:hAnsi="Arial" w:cs="Arial"/>
          <w:b/>
          <w:sz w:val="18"/>
          <w:szCs w:val="18"/>
        </w:rPr>
        <w:t>k.ú</w:t>
      </w:r>
      <w:proofErr w:type="spellEnd"/>
      <w:r w:rsidR="001C50AB" w:rsidRPr="001C50AB">
        <w:rPr>
          <w:rFonts w:ascii="Arial" w:hAnsi="Arial" w:cs="Arial"/>
          <w:b/>
          <w:sz w:val="18"/>
          <w:szCs w:val="18"/>
        </w:rPr>
        <w:t>. Bruntál-město</w:t>
      </w:r>
    </w:p>
    <w:p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261BDE" w:rsidRDefault="008A79AB" w:rsidP="00B8022C">
      <w:pPr>
        <w:numPr>
          <w:ilvl w:val="0"/>
          <w:numId w:val="13"/>
        </w:numPr>
        <w:spacing w:before="60"/>
        <w:ind w:left="425" w:hanging="425"/>
        <w:jc w:val="both"/>
        <w:rPr>
          <w:iCs/>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261BDE" w:rsidRDefault="00261BDE">
      <w:pPr>
        <w:rPr>
          <w:iCs/>
          <w:sz w:val="18"/>
          <w:szCs w:val="18"/>
        </w:rPr>
      </w:pPr>
      <w:r>
        <w:rPr>
          <w:iCs/>
          <w:sz w:val="18"/>
          <w:szCs w:val="18"/>
        </w:rPr>
        <w:br w:type="page"/>
      </w:r>
    </w:p>
    <w:p w:rsidR="004222B0" w:rsidRPr="00325778" w:rsidRDefault="005D6A0E" w:rsidP="00B8022C">
      <w:pPr>
        <w:numPr>
          <w:ilvl w:val="0"/>
          <w:numId w:val="13"/>
        </w:numPr>
        <w:spacing w:before="60"/>
        <w:ind w:left="425" w:hanging="425"/>
        <w:jc w:val="both"/>
        <w:rPr>
          <w:sz w:val="18"/>
          <w:szCs w:val="18"/>
        </w:rPr>
      </w:pPr>
      <w:r w:rsidRPr="00325778">
        <w:rPr>
          <w:sz w:val="18"/>
          <w:szCs w:val="18"/>
        </w:rPr>
        <w:lastRenderedPageBreak/>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rsidR="005D6A0E" w:rsidRPr="00325778" w:rsidRDefault="005D6A0E" w:rsidP="00B8022C">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rsidR="00117EDF" w:rsidRPr="00325778" w:rsidRDefault="00117EDF" w:rsidP="00504597">
      <w:pPr>
        <w:spacing w:before="120"/>
        <w:ind w:left="425" w:hanging="425"/>
        <w:jc w:val="both"/>
        <w:rPr>
          <w:sz w:val="18"/>
          <w:szCs w:val="18"/>
        </w:rPr>
      </w:pPr>
    </w:p>
    <w:p w:rsidR="00225774" w:rsidRPr="00325778" w:rsidRDefault="00225774" w:rsidP="00CB7E31">
      <w:pPr>
        <w:rPr>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Předmět smlouvy</w:t>
      </w:r>
    </w:p>
    <w:p w:rsidR="005D6A0E" w:rsidRPr="00325778" w:rsidRDefault="005D6A0E" w:rsidP="00B8022C">
      <w:pPr>
        <w:numPr>
          <w:ilvl w:val="0"/>
          <w:numId w:val="1"/>
        </w:numPr>
        <w:spacing w:before="60"/>
        <w:ind w:left="425" w:hanging="425"/>
        <w:jc w:val="both"/>
        <w:rPr>
          <w:b/>
          <w:sz w:val="18"/>
          <w:szCs w:val="18"/>
        </w:rPr>
      </w:pPr>
      <w:r w:rsidRPr="00325778">
        <w:rPr>
          <w:b/>
          <w:sz w:val="18"/>
          <w:szCs w:val="18"/>
        </w:rPr>
        <w:t>vymezení díla</w:t>
      </w:r>
    </w:p>
    <w:p w:rsidR="00B85F65" w:rsidRPr="00325778" w:rsidRDefault="0007031D" w:rsidP="00B8022C">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516E11">
        <w:rPr>
          <w:b/>
          <w:sz w:val="18"/>
          <w:szCs w:val="18"/>
        </w:rPr>
        <w:t>Nemocnice Bruntál – oprava WC pro veřejnost</w:t>
      </w:r>
      <w:r w:rsidR="007E351C">
        <w:rPr>
          <w:b/>
          <w:sz w:val="18"/>
          <w:szCs w:val="18"/>
        </w:rPr>
        <w:t xml:space="preserve">, </w:t>
      </w:r>
      <w:r w:rsidR="0072249E">
        <w:rPr>
          <w:b/>
          <w:sz w:val="18"/>
          <w:szCs w:val="18"/>
        </w:rPr>
        <w:t>WC 4 – 2. NP</w:t>
      </w:r>
      <w:r w:rsidR="00516E11">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w:t>
      </w:r>
      <w:r w:rsidR="00516E11" w:rsidRPr="00516E11">
        <w:rPr>
          <w:sz w:val="18"/>
          <w:szCs w:val="18"/>
        </w:rPr>
        <w:t>předané projektové dokumentace z</w:t>
      </w:r>
      <w:r w:rsidR="00516E11">
        <w:rPr>
          <w:sz w:val="18"/>
          <w:szCs w:val="18"/>
        </w:rPr>
        <w:t> prosince 2017</w:t>
      </w:r>
      <w:r w:rsidR="00516E11" w:rsidRPr="00516E11">
        <w:rPr>
          <w:sz w:val="18"/>
          <w:szCs w:val="18"/>
        </w:rPr>
        <w:t xml:space="preserve">, zpracované projektantem: Ing. </w:t>
      </w:r>
      <w:r w:rsidR="00516E11">
        <w:rPr>
          <w:sz w:val="18"/>
          <w:szCs w:val="18"/>
        </w:rPr>
        <w:t xml:space="preserve">Romanem </w:t>
      </w:r>
      <w:proofErr w:type="spellStart"/>
      <w:r w:rsidR="00516E11">
        <w:rPr>
          <w:sz w:val="18"/>
          <w:szCs w:val="18"/>
        </w:rPr>
        <w:t>Macoszkem</w:t>
      </w:r>
      <w:proofErr w:type="spellEnd"/>
      <w:r w:rsidR="00516E11">
        <w:rPr>
          <w:sz w:val="18"/>
          <w:szCs w:val="18"/>
        </w:rPr>
        <w:t xml:space="preserve">, </w:t>
      </w:r>
      <w:r w:rsidR="00516E11" w:rsidRPr="00516E11">
        <w:rPr>
          <w:sz w:val="18"/>
          <w:szCs w:val="18"/>
        </w:rPr>
        <w:t>autorizovaným inženýrem ČKAIT v</w:t>
      </w:r>
      <w:r w:rsidR="00711C8F">
        <w:rPr>
          <w:sz w:val="18"/>
          <w:szCs w:val="18"/>
        </w:rPr>
        <w:t> </w:t>
      </w:r>
      <w:r w:rsidR="00516E11" w:rsidRPr="00516E11">
        <w:rPr>
          <w:sz w:val="18"/>
          <w:szCs w:val="18"/>
        </w:rPr>
        <w:t xml:space="preserve">oboru: </w:t>
      </w:r>
      <w:r w:rsidR="00711C8F">
        <w:rPr>
          <w:sz w:val="18"/>
          <w:szCs w:val="18"/>
        </w:rPr>
        <w:t>Statika a dynamika staveb</w:t>
      </w:r>
      <w:r w:rsidR="00516E11" w:rsidRPr="00516E11">
        <w:rPr>
          <w:sz w:val="18"/>
          <w:szCs w:val="18"/>
        </w:rPr>
        <w:t xml:space="preserve"> </w:t>
      </w:r>
      <w:proofErr w:type="spellStart"/>
      <w:r w:rsidR="00516E11" w:rsidRPr="00516E11">
        <w:rPr>
          <w:sz w:val="18"/>
          <w:szCs w:val="18"/>
        </w:rPr>
        <w:t>č.a</w:t>
      </w:r>
      <w:proofErr w:type="spellEnd"/>
      <w:r w:rsidR="00516E11" w:rsidRPr="00516E11">
        <w:rPr>
          <w:sz w:val="18"/>
          <w:szCs w:val="18"/>
        </w:rPr>
        <w:t>.: 1200</w:t>
      </w:r>
      <w:r w:rsidR="00711C8F">
        <w:rPr>
          <w:sz w:val="18"/>
          <w:szCs w:val="18"/>
        </w:rPr>
        <w:t xml:space="preserve">076 a </w:t>
      </w:r>
      <w:r w:rsidR="00C2116B" w:rsidRPr="00325778">
        <w:rPr>
          <w:sz w:val="18"/>
          <w:szCs w:val="18"/>
        </w:rPr>
        <w:t xml:space="preserve">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836FD9">
        <w:rPr>
          <w:sz w:val="18"/>
          <w:szCs w:val="18"/>
        </w:rPr>
        <w:t>.</w:t>
      </w:r>
    </w:p>
    <w:p w:rsidR="0007031D"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rsidR="00D400C5"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rsidR="00D400C5" w:rsidRPr="00325778" w:rsidRDefault="00D400C5"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DA5262">
        <w:rPr>
          <w:snapToGrid w:val="0"/>
          <w:sz w:val="18"/>
          <w:szCs w:val="18"/>
        </w:rPr>
        <w:t>.</w:t>
      </w:r>
    </w:p>
    <w:p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r w:rsidR="00DA5262">
        <w:rPr>
          <w:snapToGrid w:val="0"/>
          <w:sz w:val="18"/>
          <w:szCs w:val="18"/>
        </w:rPr>
        <w:t>.</w:t>
      </w:r>
    </w:p>
    <w:p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w:t>
      </w:r>
      <w:r w:rsidR="00DA5262">
        <w:rPr>
          <w:snapToGrid w:val="0"/>
          <w:sz w:val="18"/>
          <w:szCs w:val="18"/>
        </w:rPr>
        <w:t>ovídajícím příslušným předpisům.</w:t>
      </w:r>
    </w:p>
    <w:p w:rsidR="00D052C8" w:rsidRDefault="00D052C8"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sidR="00057245">
        <w:rPr>
          <w:sz w:val="18"/>
          <w:szCs w:val="18"/>
        </w:rPr>
        <w:t>541</w:t>
      </w:r>
      <w:r w:rsidRPr="00325778">
        <w:rPr>
          <w:sz w:val="18"/>
          <w:szCs w:val="18"/>
        </w:rPr>
        <w:t>/20</w:t>
      </w:r>
      <w:r w:rsidR="00057245">
        <w:rPr>
          <w:sz w:val="18"/>
          <w:szCs w:val="18"/>
        </w:rPr>
        <w:t>20</w:t>
      </w:r>
      <w:r w:rsidRPr="00325778">
        <w:rPr>
          <w:sz w:val="18"/>
          <w:szCs w:val="18"/>
        </w:rPr>
        <w:t xml:space="preserve"> Sb. a</w:t>
      </w:r>
      <w:r w:rsidR="00342AE7">
        <w:rPr>
          <w:sz w:val="18"/>
          <w:szCs w:val="18"/>
        </w:rPr>
        <w:t> </w:t>
      </w:r>
      <w:r w:rsidRPr="00325778">
        <w:rPr>
          <w:sz w:val="18"/>
          <w:szCs w:val="18"/>
        </w:rPr>
        <w:t xml:space="preserve">vyhláškou </w:t>
      </w:r>
      <w:r w:rsidR="00057245">
        <w:rPr>
          <w:sz w:val="18"/>
          <w:szCs w:val="18"/>
        </w:rPr>
        <w:t xml:space="preserve">MŽP a MZ </w:t>
      </w:r>
      <w:r w:rsidRPr="00325778">
        <w:rPr>
          <w:sz w:val="18"/>
          <w:szCs w:val="18"/>
        </w:rPr>
        <w:t xml:space="preserve">č. </w:t>
      </w:r>
      <w:r w:rsidR="00057245">
        <w:rPr>
          <w:sz w:val="18"/>
          <w:szCs w:val="18"/>
        </w:rPr>
        <w:t>8</w:t>
      </w:r>
      <w:r w:rsidRPr="00325778">
        <w:rPr>
          <w:sz w:val="18"/>
          <w:szCs w:val="18"/>
        </w:rPr>
        <w:t>/20</w:t>
      </w:r>
      <w:r w:rsidR="00057245">
        <w:rPr>
          <w:sz w:val="18"/>
          <w:szCs w:val="18"/>
        </w:rPr>
        <w:t>21</w:t>
      </w:r>
      <w:r w:rsidRPr="00325778">
        <w:rPr>
          <w:sz w:val="18"/>
          <w:szCs w:val="18"/>
        </w:rPr>
        <w:t xml:space="preserve"> Sb. </w:t>
      </w:r>
      <w:r w:rsidR="00057245">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DA5262">
        <w:rPr>
          <w:sz w:val="18"/>
          <w:szCs w:val="18"/>
        </w:rPr>
        <w:t>.</w:t>
      </w:r>
    </w:p>
    <w:p w:rsidR="00E84E1F" w:rsidRPr="00325778" w:rsidRDefault="00B261E8"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rsidR="00C16C60" w:rsidRPr="00325778" w:rsidRDefault="00C16C60"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rsidR="004818FB" w:rsidRPr="00325778" w:rsidRDefault="00082007"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325778" w:rsidRDefault="004818FB" w:rsidP="00B8022C">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50623F" w:rsidRPr="00325778" w:rsidRDefault="0050623F" w:rsidP="00436620">
      <w:pPr>
        <w:rPr>
          <w:sz w:val="18"/>
          <w:szCs w:val="18"/>
        </w:rPr>
      </w:pPr>
    </w:p>
    <w:p w:rsidR="005D6A0E" w:rsidRPr="00325778" w:rsidRDefault="005D6A0E" w:rsidP="00B8022C">
      <w:pPr>
        <w:numPr>
          <w:ilvl w:val="0"/>
          <w:numId w:val="1"/>
        </w:numPr>
        <w:spacing w:before="60"/>
        <w:ind w:left="425" w:hanging="425"/>
        <w:jc w:val="both"/>
        <w:rPr>
          <w:b/>
          <w:sz w:val="18"/>
          <w:szCs w:val="18"/>
        </w:rPr>
      </w:pPr>
      <w:r w:rsidRPr="00325778">
        <w:rPr>
          <w:b/>
          <w:sz w:val="18"/>
          <w:szCs w:val="18"/>
        </w:rPr>
        <w:t>stanovení jakostních ukazatelů provedení díla</w:t>
      </w:r>
    </w:p>
    <w:p w:rsidR="005D6A0E" w:rsidRPr="00325778" w:rsidRDefault="005D6A0E" w:rsidP="00B8022C">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rsidR="00F17945" w:rsidRPr="00325778" w:rsidRDefault="009C733A" w:rsidP="00B8022C">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rsidR="005D6A0E" w:rsidRPr="00325778" w:rsidRDefault="00F8389A" w:rsidP="00B8022C">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rsidR="005D6A0E" w:rsidRPr="00325778" w:rsidRDefault="005D6A0E" w:rsidP="00B8022C">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rsidR="005D6A0E" w:rsidRPr="00325778" w:rsidRDefault="009E01A5" w:rsidP="00B8022C">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rsidR="0092361B" w:rsidRPr="00325778" w:rsidRDefault="0092361B" w:rsidP="00B8022C">
      <w:pPr>
        <w:pStyle w:val="odrazka5"/>
        <w:numPr>
          <w:ilvl w:val="1"/>
          <w:numId w:val="15"/>
        </w:numPr>
        <w:tabs>
          <w:tab w:val="clear" w:pos="928"/>
        </w:tabs>
        <w:ind w:left="1418" w:hanging="284"/>
        <w:jc w:val="both"/>
        <w:rPr>
          <w:sz w:val="18"/>
          <w:szCs w:val="18"/>
        </w:rPr>
      </w:pPr>
      <w:r w:rsidRPr="00325778">
        <w:rPr>
          <w:color w:val="000000"/>
          <w:sz w:val="18"/>
          <w:szCs w:val="18"/>
        </w:rPr>
        <w:lastRenderedPageBreak/>
        <w:t xml:space="preserve">zajištění </w:t>
      </w:r>
      <w:r w:rsidR="00836FD9">
        <w:rPr>
          <w:color w:val="000000"/>
          <w:sz w:val="18"/>
          <w:szCs w:val="18"/>
        </w:rPr>
        <w:t xml:space="preserve">veškerých </w:t>
      </w:r>
      <w:r w:rsidRPr="00325778">
        <w:rPr>
          <w:color w:val="000000"/>
          <w:sz w:val="18"/>
          <w:szCs w:val="18"/>
        </w:rPr>
        <w:t>revizí</w:t>
      </w:r>
      <w:r w:rsidR="00F63954">
        <w:rPr>
          <w:color w:val="000000"/>
          <w:sz w:val="18"/>
          <w:szCs w:val="18"/>
        </w:rPr>
        <w:t xml:space="preserve"> a zkoušek</w:t>
      </w:r>
      <w:r w:rsidRPr="00325778">
        <w:rPr>
          <w:color w:val="000000"/>
          <w:sz w:val="18"/>
          <w:szCs w:val="18"/>
        </w:rPr>
        <w:t>, která jsou součástí díla</w:t>
      </w:r>
    </w:p>
    <w:p w:rsidR="005D6A0E" w:rsidRPr="00325778" w:rsidRDefault="00E16F4A" w:rsidP="00B8022C">
      <w:pPr>
        <w:pStyle w:val="odrazka5"/>
        <w:numPr>
          <w:ilvl w:val="1"/>
          <w:numId w:val="15"/>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rsidR="00E16F4A" w:rsidRPr="00325778" w:rsidRDefault="00E16F4A" w:rsidP="00B8022C">
      <w:pPr>
        <w:pStyle w:val="odrazka5"/>
        <w:numPr>
          <w:ilvl w:val="1"/>
          <w:numId w:val="15"/>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rsidR="005D6A0E" w:rsidRPr="00325778" w:rsidRDefault="005D6A0E" w:rsidP="00B8022C">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5D6A0E" w:rsidRPr="00325778" w:rsidRDefault="005D6A0E" w:rsidP="00B8022C">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práce</w:t>
      </w:r>
      <w:r w:rsidR="00EE2B65">
        <w:rPr>
          <w:i w:val="0"/>
          <w:iCs/>
          <w:snapToGrid w:val="0"/>
          <w:color w:val="auto"/>
          <w:sz w:val="18"/>
          <w:szCs w:val="18"/>
        </w:rPr>
        <w:t xml:space="preserve"> a činnosti, uvedené </w:t>
      </w:r>
      <w:r w:rsidR="00EE2B65" w:rsidRPr="00EE2B65">
        <w:rPr>
          <w:i w:val="0"/>
          <w:color w:val="auto"/>
          <w:sz w:val="18"/>
          <w:szCs w:val="18"/>
        </w:rPr>
        <w:t>v článku III.2.a</w:t>
      </w:r>
      <w:r w:rsidR="00EE2B65">
        <w:rPr>
          <w:i w:val="0"/>
          <w:color w:val="auto"/>
          <w:sz w:val="18"/>
          <w:szCs w:val="18"/>
        </w:rPr>
        <w:t>)</w:t>
      </w:r>
      <w:r w:rsidR="008E5B28">
        <w:rPr>
          <w:i w:val="0"/>
          <w:color w:val="auto"/>
          <w:sz w:val="18"/>
          <w:szCs w:val="18"/>
        </w:rPr>
        <w:t>,</w:t>
      </w:r>
      <w:r w:rsidRPr="00EE2B65">
        <w:rPr>
          <w:i w:val="0"/>
          <w:iCs/>
          <w:snapToGrid w:val="0"/>
          <w:color w:val="auto"/>
          <w:sz w:val="18"/>
          <w:szCs w:val="18"/>
        </w:rPr>
        <w:t xml:space="preserve"> jsou zahrnuty </w:t>
      </w:r>
      <w:r w:rsidRPr="00325778">
        <w:rPr>
          <w:i w:val="0"/>
          <w:iCs/>
          <w:snapToGrid w:val="0"/>
          <w:color w:val="auto"/>
          <w:sz w:val="18"/>
          <w:szCs w:val="18"/>
        </w:rPr>
        <w:t>v ceně díla.</w:t>
      </w:r>
    </w:p>
    <w:p w:rsidR="00F5553B" w:rsidRPr="00325778" w:rsidRDefault="005D6A0E" w:rsidP="00B8022C">
      <w:pPr>
        <w:numPr>
          <w:ilvl w:val="0"/>
          <w:numId w:val="1"/>
        </w:numPr>
        <w:spacing w:before="60"/>
        <w:ind w:left="425" w:hanging="425"/>
        <w:jc w:val="both"/>
        <w:rPr>
          <w:b/>
          <w:sz w:val="18"/>
          <w:szCs w:val="18"/>
        </w:rPr>
      </w:pPr>
      <w:r w:rsidRPr="00325778">
        <w:rPr>
          <w:b/>
          <w:sz w:val="18"/>
          <w:szCs w:val="18"/>
        </w:rPr>
        <w:t>základní požadavky na materiálové provedení</w:t>
      </w:r>
    </w:p>
    <w:p w:rsidR="00F5553B" w:rsidRPr="00325778" w:rsidRDefault="005D6A0E" w:rsidP="00B8022C">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5D6A0E" w:rsidRPr="00325778" w:rsidRDefault="00223091" w:rsidP="00B8022C">
      <w:pPr>
        <w:pStyle w:val="Nadpis8"/>
        <w:keepNext w:val="0"/>
        <w:numPr>
          <w:ilvl w:val="0"/>
          <w:numId w:val="16"/>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325778" w:rsidRDefault="005D6A0E" w:rsidP="00B8022C">
      <w:pPr>
        <w:numPr>
          <w:ilvl w:val="0"/>
          <w:numId w:val="1"/>
        </w:numPr>
        <w:spacing w:before="60"/>
        <w:ind w:left="425" w:hanging="425"/>
        <w:jc w:val="both"/>
        <w:rPr>
          <w:b/>
          <w:sz w:val="18"/>
          <w:szCs w:val="18"/>
        </w:rPr>
      </w:pPr>
      <w:r w:rsidRPr="00325778">
        <w:rPr>
          <w:b/>
          <w:sz w:val="18"/>
          <w:szCs w:val="18"/>
        </w:rPr>
        <w:t>součinnost objednatele a zhotovitele při realizaci díla</w:t>
      </w:r>
    </w:p>
    <w:p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rsidR="005D6A0E"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057EDB" w:rsidRPr="00325778" w:rsidRDefault="0050623F" w:rsidP="00B8022C">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rsidR="005D6A0E" w:rsidRPr="00325778" w:rsidRDefault="005D6A0E" w:rsidP="00B8022C">
      <w:pPr>
        <w:numPr>
          <w:ilvl w:val="0"/>
          <w:numId w:val="1"/>
        </w:numPr>
        <w:spacing w:before="60"/>
        <w:ind w:left="425" w:hanging="425"/>
        <w:jc w:val="both"/>
        <w:rPr>
          <w:b/>
          <w:sz w:val="18"/>
          <w:szCs w:val="18"/>
        </w:rPr>
      </w:pPr>
      <w:r w:rsidRPr="00325778">
        <w:rPr>
          <w:b/>
          <w:sz w:val="18"/>
          <w:szCs w:val="18"/>
        </w:rPr>
        <w:t>požadavky na dodržování bezpečnosti práce</w:t>
      </w:r>
    </w:p>
    <w:p w:rsidR="00D052C8" w:rsidRDefault="00D052C8" w:rsidP="00B8022C">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D052C8" w:rsidRPr="00325778" w:rsidRDefault="00D052C8" w:rsidP="00B8022C">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D052C8" w:rsidRPr="00325778" w:rsidRDefault="00D052C8" w:rsidP="00B8022C">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D052C8" w:rsidRPr="00325778" w:rsidRDefault="00D052C8" w:rsidP="00B8022C">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261BDE" w:rsidRDefault="00D052C8" w:rsidP="00B8022C">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261BDE" w:rsidRDefault="00261BDE">
      <w:pPr>
        <w:rPr>
          <w:sz w:val="18"/>
          <w:szCs w:val="18"/>
        </w:rPr>
      </w:pPr>
      <w:r>
        <w:rPr>
          <w:sz w:val="18"/>
          <w:szCs w:val="18"/>
        </w:rPr>
        <w:br w:type="page"/>
      </w:r>
    </w:p>
    <w:p w:rsidR="00D052C8" w:rsidRPr="00325778" w:rsidRDefault="00D052C8" w:rsidP="00B8022C">
      <w:pPr>
        <w:pStyle w:val="Zkladntext"/>
        <w:numPr>
          <w:ilvl w:val="0"/>
          <w:numId w:val="33"/>
        </w:numPr>
        <w:spacing w:before="60"/>
        <w:jc w:val="both"/>
        <w:rPr>
          <w:sz w:val="18"/>
          <w:szCs w:val="18"/>
        </w:rPr>
      </w:pPr>
      <w:r w:rsidRPr="00325778">
        <w:rPr>
          <w:sz w:val="18"/>
          <w:szCs w:val="18"/>
        </w:rPr>
        <w:lastRenderedPageBreak/>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D052C8" w:rsidRPr="00325778" w:rsidRDefault="00D052C8" w:rsidP="00B8022C">
      <w:pPr>
        <w:numPr>
          <w:ilvl w:val="0"/>
          <w:numId w:val="3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52C8" w:rsidRPr="00325778" w:rsidRDefault="00D052C8" w:rsidP="00364F5E">
      <w:pPr>
        <w:spacing w:before="60"/>
        <w:rPr>
          <w:sz w:val="18"/>
          <w:szCs w:val="18"/>
        </w:rPr>
      </w:pPr>
    </w:p>
    <w:p w:rsidR="00225774" w:rsidRPr="00325778" w:rsidRDefault="00225774" w:rsidP="00CB7E31">
      <w:pPr>
        <w:rPr>
          <w:sz w:val="18"/>
          <w:szCs w:val="18"/>
        </w:rPr>
      </w:pPr>
    </w:p>
    <w:p w:rsidR="005D6A0E" w:rsidRPr="00325778" w:rsidRDefault="005D6A0E" w:rsidP="00B8022C">
      <w:pPr>
        <w:numPr>
          <w:ilvl w:val="0"/>
          <w:numId w:val="24"/>
        </w:numPr>
        <w:spacing w:after="240"/>
        <w:ind w:left="0" w:firstLine="0"/>
        <w:jc w:val="center"/>
        <w:rPr>
          <w:b/>
          <w:sz w:val="18"/>
          <w:szCs w:val="18"/>
        </w:rPr>
      </w:pPr>
      <w:r w:rsidRPr="00325778">
        <w:rPr>
          <w:b/>
          <w:sz w:val="18"/>
          <w:szCs w:val="18"/>
        </w:rPr>
        <w:t>Doklady o územním řízení a stavebním povolení</w:t>
      </w:r>
    </w:p>
    <w:p w:rsidR="00CB0B5A" w:rsidRPr="00BC4966" w:rsidRDefault="00BC4966" w:rsidP="00B8022C">
      <w:pPr>
        <w:pStyle w:val="Zkladntext"/>
        <w:numPr>
          <w:ilvl w:val="0"/>
          <w:numId w:val="30"/>
        </w:numPr>
        <w:ind w:left="426" w:hanging="426"/>
        <w:jc w:val="both"/>
        <w:rPr>
          <w:bCs/>
          <w:sz w:val="18"/>
          <w:szCs w:val="18"/>
        </w:rPr>
      </w:pPr>
      <w:r w:rsidRPr="00BC4966">
        <w:rPr>
          <w:sz w:val="18"/>
          <w:szCs w:val="18"/>
        </w:rPr>
        <w:t xml:space="preserve">Jedná se o udržovací práce </w:t>
      </w:r>
      <w:r w:rsidRPr="00BC4966">
        <w:rPr>
          <w:rFonts w:eastAsiaTheme="minorHAnsi"/>
          <w:color w:val="020003"/>
          <w:sz w:val="18"/>
          <w:szCs w:val="18"/>
          <w:lang w:eastAsia="en-US"/>
        </w:rPr>
        <w:t>rozsahu, který nemůže negativně ovlivnit zdraví osob, požární bezpečnost, stabilitu, vzhled stavby, životní prostředí ani bezpečnost při užívání, a proto podle § 103 odst</w:t>
      </w:r>
      <w:r w:rsidRPr="00BC4966">
        <w:rPr>
          <w:rFonts w:eastAsiaTheme="minorHAnsi"/>
          <w:color w:val="000001"/>
          <w:sz w:val="18"/>
          <w:szCs w:val="18"/>
          <w:lang w:eastAsia="en-US"/>
        </w:rPr>
        <w:t xml:space="preserve">. </w:t>
      </w:r>
      <w:r w:rsidRPr="00BC4966">
        <w:rPr>
          <w:rFonts w:eastAsiaTheme="minorHAnsi"/>
          <w:color w:val="020003"/>
          <w:sz w:val="18"/>
          <w:szCs w:val="18"/>
          <w:lang w:eastAsia="en-US"/>
        </w:rPr>
        <w:t>1 písmeno</w:t>
      </w:r>
      <w:r w:rsidRPr="00BC4966">
        <w:rPr>
          <w:rFonts w:eastAsiaTheme="minorHAnsi"/>
          <w:color w:val="000001"/>
          <w:sz w:val="18"/>
          <w:szCs w:val="18"/>
          <w:lang w:eastAsia="en-US"/>
        </w:rPr>
        <w:t xml:space="preserve"> </w:t>
      </w:r>
      <w:r w:rsidRPr="00BC4966">
        <w:rPr>
          <w:rFonts w:eastAsiaTheme="minorHAnsi"/>
          <w:color w:val="020003"/>
          <w:sz w:val="18"/>
          <w:szCs w:val="18"/>
          <w:lang w:eastAsia="en-US"/>
        </w:rPr>
        <w:t>c) stavebního zákona nevyžadují stavební povolení ani ohlášení stavebnímu úřadu</w:t>
      </w:r>
      <w:r w:rsidRPr="00BC4966">
        <w:rPr>
          <w:rFonts w:eastAsiaTheme="minorHAnsi"/>
          <w:color w:val="1E1B21"/>
          <w:sz w:val="18"/>
          <w:szCs w:val="18"/>
          <w:lang w:eastAsia="en-US"/>
        </w:rPr>
        <w:t>.</w:t>
      </w:r>
    </w:p>
    <w:p w:rsidR="00CB0B5A" w:rsidRPr="00325778" w:rsidRDefault="00CB0B5A" w:rsidP="006A4E06">
      <w:pPr>
        <w:rPr>
          <w:sz w:val="18"/>
          <w:szCs w:val="18"/>
        </w:rPr>
      </w:pPr>
    </w:p>
    <w:p w:rsidR="00130856" w:rsidRPr="00325778" w:rsidRDefault="00130856" w:rsidP="00A44EFC">
      <w:pPr>
        <w:jc w:val="both"/>
        <w:rPr>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Cena díla</w:t>
      </w:r>
    </w:p>
    <w:p w:rsidR="000D3490" w:rsidRPr="00325778" w:rsidRDefault="00280A31" w:rsidP="00B8022C">
      <w:pPr>
        <w:pStyle w:val="Zkladntext21"/>
        <w:numPr>
          <w:ilvl w:val="0"/>
          <w:numId w:val="18"/>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984BAF" w:rsidRPr="00325778">
        <w:rPr>
          <w:sz w:val="18"/>
          <w:szCs w:val="18"/>
          <w:highlight w:val="lightGray"/>
        </w:rPr>
        <w:t>……………………</w:t>
      </w:r>
      <w:r w:rsidRPr="00325778">
        <w:rPr>
          <w:b/>
          <w:sz w:val="18"/>
          <w:szCs w:val="18"/>
        </w:rPr>
        <w:t>Kč</w:t>
      </w:r>
      <w:r w:rsidRPr="00325778">
        <w:rPr>
          <w:sz w:val="18"/>
          <w:szCs w:val="18"/>
        </w:rPr>
        <w:t xml:space="preserve"> </w:t>
      </w:r>
      <w:r w:rsidRPr="00325778">
        <w:rPr>
          <w:b/>
          <w:sz w:val="18"/>
          <w:szCs w:val="18"/>
        </w:rPr>
        <w:t xml:space="preserve">(slovy </w:t>
      </w:r>
      <w:r w:rsidR="00984BAF" w:rsidRPr="00325778">
        <w:rPr>
          <w:b/>
          <w:sz w:val="18"/>
          <w:szCs w:val="18"/>
          <w:highlight w:val="lightGray"/>
        </w:rPr>
        <w:t>…………………………</w:t>
      </w:r>
      <w:r w:rsidRPr="00325778">
        <w:rPr>
          <w:b/>
          <w:sz w:val="18"/>
          <w:szCs w:val="18"/>
        </w:rPr>
        <w:t>korun českých) bez DPH</w:t>
      </w:r>
      <w:r w:rsidR="00984BAF" w:rsidRPr="00325778">
        <w:rPr>
          <w:b/>
          <w:sz w:val="18"/>
          <w:szCs w:val="18"/>
        </w:rPr>
        <w:t xml:space="preserve"> </w:t>
      </w:r>
      <w:r w:rsidR="00FE0EC7" w:rsidRPr="00325778">
        <w:rPr>
          <w:b/>
          <w:sz w:val="18"/>
          <w:szCs w:val="18"/>
          <w:highlight w:val="lightGray"/>
        </w:rPr>
        <w:t>(BUDE DOPLNĚNO ÚČASTNÍKEM VŘ)</w:t>
      </w:r>
      <w:r w:rsidRPr="00325778">
        <w:rPr>
          <w:b/>
          <w:sz w:val="18"/>
          <w:szCs w:val="18"/>
        </w:rPr>
        <w:t xml:space="preserve">. </w:t>
      </w:r>
      <w:r w:rsidRPr="00325778">
        <w:rPr>
          <w:sz w:val="18"/>
          <w:szCs w:val="18"/>
        </w:rPr>
        <w:t>K takto sjednané ceně bude připočítána DPH dle platné sazby.</w:t>
      </w:r>
    </w:p>
    <w:p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rsidR="000D3490" w:rsidRPr="00325778" w:rsidRDefault="000D3490" w:rsidP="00B8022C">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0D3490" w:rsidRPr="00325778" w:rsidRDefault="000D3490" w:rsidP="00B8022C">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rsidR="00261BDE" w:rsidRDefault="00393603" w:rsidP="00B8022C">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F63954">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rsidR="00261BDE" w:rsidRDefault="00261BDE">
      <w:pPr>
        <w:rPr>
          <w:sz w:val="18"/>
          <w:szCs w:val="18"/>
        </w:rPr>
      </w:pPr>
      <w:r>
        <w:rPr>
          <w:sz w:val="18"/>
          <w:szCs w:val="18"/>
        </w:rPr>
        <w:br w:type="page"/>
      </w:r>
    </w:p>
    <w:p w:rsidR="00C46B4B" w:rsidRPr="00325778" w:rsidRDefault="00B51ECE" w:rsidP="00B8022C">
      <w:pPr>
        <w:numPr>
          <w:ilvl w:val="0"/>
          <w:numId w:val="18"/>
        </w:numPr>
        <w:tabs>
          <w:tab w:val="clear" w:pos="794"/>
        </w:tabs>
        <w:spacing w:before="60"/>
        <w:ind w:left="425" w:hanging="425"/>
        <w:jc w:val="both"/>
        <w:rPr>
          <w:snapToGrid w:val="0"/>
          <w:sz w:val="18"/>
          <w:szCs w:val="18"/>
        </w:rPr>
      </w:pPr>
      <w:r w:rsidRPr="00325778">
        <w:rPr>
          <w:sz w:val="18"/>
          <w:szCs w:val="18"/>
          <w:lang w:eastAsia="en-US"/>
        </w:rPr>
        <w:lastRenderedPageBreak/>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5830A3">
        <w:rPr>
          <w:b/>
          <w:bCs/>
          <w:sz w:val="18"/>
          <w:szCs w:val="18"/>
          <w:lang w:eastAsia="en-US"/>
        </w:rPr>
        <w:t>7</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w:t>
      </w:r>
      <w:proofErr w:type="spellStart"/>
      <w:r w:rsidRPr="00325778">
        <w:rPr>
          <w:sz w:val="18"/>
          <w:szCs w:val="18"/>
          <w:lang w:eastAsia="en-US"/>
        </w:rPr>
        <w:t>naceněnou</w:t>
      </w:r>
      <w:proofErr w:type="spellEnd"/>
      <w:r w:rsidRPr="00325778">
        <w:rPr>
          <w:sz w:val="18"/>
          <w:szCs w:val="18"/>
          <w:lang w:eastAsia="en-US"/>
        </w:rPr>
        <w:t xml:space="preserve">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sidRPr="00325778">
        <w:rPr>
          <w:b/>
          <w:bCs/>
          <w:sz w:val="18"/>
          <w:szCs w:val="18"/>
          <w:lang w:eastAsia="en-US"/>
        </w:rPr>
        <w:t>nacenění</w:t>
      </w:r>
      <w:proofErr w:type="spellEnd"/>
      <w:r w:rsidRPr="00325778">
        <w:rPr>
          <w:b/>
          <w:bCs/>
          <w:sz w:val="18"/>
          <w:szCs w:val="18"/>
          <w:lang w:eastAsia="en-US"/>
        </w:rPr>
        <w:t xml:space="preserve">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325778" w:rsidRDefault="005D6A0E" w:rsidP="0050623F">
      <w:pPr>
        <w:rPr>
          <w:sz w:val="18"/>
          <w:szCs w:val="18"/>
        </w:rPr>
      </w:pPr>
    </w:p>
    <w:p w:rsidR="00130856" w:rsidRPr="00325778" w:rsidRDefault="00130856" w:rsidP="0050623F">
      <w:pPr>
        <w:rPr>
          <w:sz w:val="18"/>
          <w:szCs w:val="18"/>
        </w:rPr>
      </w:pPr>
    </w:p>
    <w:p w:rsidR="00153C12" w:rsidRPr="00325778" w:rsidRDefault="00B969E7" w:rsidP="00B8022C">
      <w:pPr>
        <w:numPr>
          <w:ilvl w:val="0"/>
          <w:numId w:val="24"/>
        </w:numPr>
        <w:spacing w:after="240"/>
        <w:ind w:left="357" w:hanging="357"/>
        <w:jc w:val="center"/>
        <w:rPr>
          <w:b/>
          <w:sz w:val="18"/>
          <w:szCs w:val="18"/>
        </w:rPr>
      </w:pPr>
      <w:r w:rsidRPr="00325778">
        <w:rPr>
          <w:b/>
          <w:sz w:val="18"/>
          <w:szCs w:val="18"/>
        </w:rPr>
        <w:t>Termíny realizace</w:t>
      </w:r>
    </w:p>
    <w:p w:rsidR="000F5F66" w:rsidRPr="0008465E" w:rsidRDefault="000F5F66" w:rsidP="00B8022C">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rsidR="000F5F66" w:rsidRPr="000F5F66" w:rsidRDefault="000F5F66" w:rsidP="00B8022C">
      <w:pPr>
        <w:numPr>
          <w:ilvl w:val="0"/>
          <w:numId w:val="34"/>
        </w:numPr>
        <w:tabs>
          <w:tab w:val="clear" w:pos="454"/>
        </w:tabs>
        <w:ind w:left="851" w:hanging="425"/>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Pr="000F5F66">
        <w:rPr>
          <w:b/>
          <w:color w:val="000000"/>
          <w:sz w:val="18"/>
          <w:szCs w:val="18"/>
        </w:rPr>
        <w:t>10 – ti pracovních dnů od písemné výzvy objednatele k převzetí staveniště</w:t>
      </w:r>
      <w:r w:rsidR="00D649D0">
        <w:rPr>
          <w:b/>
          <w:color w:val="000000"/>
          <w:sz w:val="18"/>
          <w:szCs w:val="18"/>
        </w:rPr>
        <w:t xml:space="preserve"> (předpoklad do </w:t>
      </w:r>
      <w:r w:rsidR="00C5019F">
        <w:rPr>
          <w:b/>
          <w:color w:val="000000"/>
          <w:sz w:val="18"/>
          <w:szCs w:val="18"/>
        </w:rPr>
        <w:t>1</w:t>
      </w:r>
      <w:r w:rsidR="00D649D0" w:rsidRPr="00D649D0">
        <w:rPr>
          <w:b/>
          <w:color w:val="000000"/>
          <w:sz w:val="18"/>
          <w:szCs w:val="18"/>
          <w:highlight w:val="lightGray"/>
        </w:rPr>
        <w:t xml:space="preserve">. </w:t>
      </w:r>
      <w:r w:rsidR="00C5019F">
        <w:rPr>
          <w:b/>
          <w:color w:val="000000"/>
          <w:sz w:val="18"/>
          <w:szCs w:val="18"/>
          <w:highlight w:val="lightGray"/>
        </w:rPr>
        <w:t>3</w:t>
      </w:r>
      <w:bookmarkStart w:id="1" w:name="_GoBack"/>
      <w:bookmarkEnd w:id="1"/>
      <w:r w:rsidR="00D649D0" w:rsidRPr="00D649D0">
        <w:rPr>
          <w:b/>
          <w:color w:val="000000"/>
          <w:sz w:val="18"/>
          <w:szCs w:val="18"/>
          <w:highlight w:val="lightGray"/>
        </w:rPr>
        <w:t>. 2021</w:t>
      </w:r>
      <w:r w:rsidR="00D649D0">
        <w:rPr>
          <w:b/>
          <w:color w:val="000000"/>
          <w:sz w:val="18"/>
          <w:szCs w:val="18"/>
        </w:rPr>
        <w:t>)</w:t>
      </w:r>
    </w:p>
    <w:p w:rsidR="000F5F66" w:rsidRPr="00651BEC" w:rsidRDefault="000F5F66" w:rsidP="00B8022C">
      <w:pPr>
        <w:numPr>
          <w:ilvl w:val="0"/>
          <w:numId w:val="34"/>
        </w:numPr>
        <w:tabs>
          <w:tab w:val="clear" w:pos="454"/>
        </w:tabs>
        <w:ind w:left="851" w:hanging="425"/>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rsidR="00D649D0" w:rsidRPr="000F5F66" w:rsidRDefault="000F5F66" w:rsidP="00D649D0">
      <w:pPr>
        <w:numPr>
          <w:ilvl w:val="0"/>
          <w:numId w:val="34"/>
        </w:numPr>
        <w:tabs>
          <w:tab w:val="clear" w:pos="454"/>
        </w:tabs>
        <w:ind w:left="851" w:hanging="425"/>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BC7ECE">
        <w:rPr>
          <w:b/>
          <w:bCs/>
          <w:sz w:val="18"/>
          <w:szCs w:val="18"/>
        </w:rPr>
        <w:t>6</w:t>
      </w:r>
      <w:r w:rsidRPr="000F5F66">
        <w:rPr>
          <w:b/>
          <w:bCs/>
          <w:sz w:val="18"/>
          <w:szCs w:val="18"/>
        </w:rPr>
        <w:t xml:space="preserve"> </w:t>
      </w:r>
      <w:r>
        <w:rPr>
          <w:b/>
          <w:bCs/>
          <w:sz w:val="18"/>
          <w:szCs w:val="18"/>
        </w:rPr>
        <w:t xml:space="preserve">týdnů </w:t>
      </w:r>
      <w:r w:rsidRPr="000F5F66">
        <w:rPr>
          <w:b/>
          <w:bCs/>
          <w:sz w:val="18"/>
          <w:szCs w:val="18"/>
        </w:rPr>
        <w:t>od zahájení</w:t>
      </w:r>
      <w:r w:rsidR="00D649D0">
        <w:rPr>
          <w:b/>
          <w:bCs/>
          <w:sz w:val="18"/>
          <w:szCs w:val="18"/>
        </w:rPr>
        <w:t xml:space="preserve"> díla</w:t>
      </w:r>
    </w:p>
    <w:p w:rsidR="000F5F66" w:rsidRPr="00B8022C" w:rsidRDefault="000F5F66" w:rsidP="00B8022C">
      <w:pPr>
        <w:pStyle w:val="Odstavecseseznamem"/>
        <w:numPr>
          <w:ilvl w:val="0"/>
          <w:numId w:val="34"/>
        </w:numPr>
        <w:tabs>
          <w:tab w:val="clear" w:pos="454"/>
        </w:tabs>
        <w:ind w:left="851" w:hanging="425"/>
        <w:jc w:val="both"/>
        <w:rPr>
          <w:sz w:val="18"/>
          <w:szCs w:val="18"/>
        </w:rPr>
      </w:pPr>
      <w:r w:rsidRPr="00B8022C">
        <w:rPr>
          <w:sz w:val="18"/>
          <w:szCs w:val="18"/>
        </w:rPr>
        <w:t xml:space="preserve">Odstranění zařízení staveniště a vyklizení staveniště do: </w:t>
      </w:r>
      <w:r w:rsidRPr="00B8022C">
        <w:rPr>
          <w:b/>
          <w:sz w:val="18"/>
          <w:szCs w:val="18"/>
        </w:rPr>
        <w:t>10-ti pracovních dnů ode dne řádného a včasného dokončení díla a předání předmětu díla objednateli.</w:t>
      </w:r>
    </w:p>
    <w:p w:rsidR="00DF3CEA" w:rsidRPr="00325778" w:rsidRDefault="0026763B" w:rsidP="00B8022C">
      <w:pPr>
        <w:numPr>
          <w:ilvl w:val="0"/>
          <w:numId w:val="25"/>
        </w:numPr>
        <w:tabs>
          <w:tab w:val="clear" w:pos="794"/>
        </w:tabs>
        <w:spacing w:before="60"/>
        <w:ind w:left="425" w:hanging="425"/>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sidR="002939D5">
        <w:rPr>
          <w:b/>
          <w:sz w:val="18"/>
          <w:szCs w:val="18"/>
        </w:rPr>
        <w:t xml:space="preserve">týdenního </w:t>
      </w:r>
      <w:r w:rsidRPr="0008465E">
        <w:rPr>
          <w:b/>
          <w:color w:val="000000"/>
          <w:sz w:val="18"/>
          <w:szCs w:val="18"/>
        </w:rPr>
        <w:t>harmonogram</w:t>
      </w:r>
      <w:r>
        <w:rPr>
          <w:b/>
          <w:color w:val="000000"/>
          <w:sz w:val="18"/>
          <w:szCs w:val="18"/>
        </w:rPr>
        <w:t>u</w:t>
      </w:r>
      <w:r w:rsidR="002939D5">
        <w:rPr>
          <w:b/>
          <w:color w:val="000000"/>
          <w:sz w:val="18"/>
          <w:szCs w:val="18"/>
        </w:rPr>
        <w:t xml:space="preserve"> stavebních </w:t>
      </w:r>
      <w:r w:rsidRPr="0008465E">
        <w:rPr>
          <w:b/>
          <w:color w:val="000000"/>
          <w:sz w:val="18"/>
          <w:szCs w:val="18"/>
        </w:rPr>
        <w:t xml:space="preserve">prací s uvedením finančního plnění za jednotlivé kalendářní </w:t>
      </w:r>
      <w:r>
        <w:rPr>
          <w:b/>
          <w:color w:val="000000"/>
          <w:sz w:val="18"/>
          <w:szCs w:val="18"/>
        </w:rPr>
        <w:t>týdny</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rsidR="005D6A0E" w:rsidRDefault="005D6A0E" w:rsidP="00B8022C">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sidR="000F5F66">
        <w:rPr>
          <w:sz w:val="18"/>
          <w:szCs w:val="18"/>
        </w:rPr>
        <w:t>1</w:t>
      </w:r>
      <w:r w:rsidRPr="00BD2225">
        <w:rPr>
          <w:sz w:val="18"/>
          <w:szCs w:val="18"/>
        </w:rPr>
        <w:t>.</w:t>
      </w:r>
      <w:r w:rsidR="0067752A">
        <w:rPr>
          <w:sz w:val="18"/>
          <w:szCs w:val="18"/>
        </w:rPr>
        <w:t>c)</w:t>
      </w:r>
      <w:r w:rsidRPr="00BD2225">
        <w:rPr>
          <w:sz w:val="18"/>
          <w:szCs w:val="18"/>
        </w:rPr>
        <w:t xml:space="preserve"> této smlouvy</w:t>
      </w:r>
    </w:p>
    <w:p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rsidR="00F1263C" w:rsidRPr="00325778" w:rsidRDefault="00F1263C" w:rsidP="00B8022C">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sidR="00060967">
        <w:rPr>
          <w:sz w:val="18"/>
          <w:szCs w:val="18"/>
        </w:rPr>
        <w:t>.</w:t>
      </w:r>
    </w:p>
    <w:p w:rsidR="006C2A36" w:rsidRPr="00325778" w:rsidRDefault="006C2A36" w:rsidP="00FE3A68">
      <w:pPr>
        <w:rPr>
          <w:b/>
          <w:sz w:val="18"/>
          <w:szCs w:val="18"/>
        </w:rPr>
      </w:pPr>
    </w:p>
    <w:p w:rsidR="00C14000" w:rsidRDefault="00C14000" w:rsidP="00FE3A68">
      <w:pPr>
        <w:rPr>
          <w:b/>
          <w:sz w:val="18"/>
          <w:szCs w:val="18"/>
        </w:rPr>
      </w:pPr>
    </w:p>
    <w:p w:rsidR="00C14000" w:rsidRPr="00325778" w:rsidRDefault="00C14000" w:rsidP="00B8022C">
      <w:pPr>
        <w:numPr>
          <w:ilvl w:val="0"/>
          <w:numId w:val="24"/>
        </w:numPr>
        <w:spacing w:after="240"/>
        <w:ind w:left="357" w:hanging="357"/>
        <w:jc w:val="center"/>
        <w:rPr>
          <w:b/>
          <w:sz w:val="18"/>
          <w:szCs w:val="18"/>
        </w:rPr>
      </w:pPr>
      <w:r w:rsidRPr="00325778">
        <w:rPr>
          <w:b/>
          <w:sz w:val="18"/>
          <w:szCs w:val="18"/>
        </w:rPr>
        <w:t>Staveniště</w:t>
      </w:r>
    </w:p>
    <w:p w:rsidR="00504597" w:rsidRDefault="00504597" w:rsidP="00B8022C">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67752A">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rsidR="00504597" w:rsidRPr="00325778" w:rsidRDefault="00504597" w:rsidP="00B8022C">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504597" w:rsidRPr="00325778" w:rsidRDefault="00504597" w:rsidP="00B8022C">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504597" w:rsidRPr="00325778" w:rsidRDefault="00504597" w:rsidP="00B8022C">
      <w:pPr>
        <w:pStyle w:val="Zkladntext"/>
        <w:numPr>
          <w:ilvl w:val="0"/>
          <w:numId w:val="22"/>
        </w:numPr>
        <w:spacing w:before="60"/>
        <w:ind w:left="425" w:hanging="425"/>
        <w:jc w:val="both"/>
        <w:rPr>
          <w:sz w:val="18"/>
          <w:szCs w:val="18"/>
        </w:rPr>
      </w:pPr>
      <w:bookmarkStart w:id="2" w:name="_Ref521218086"/>
      <w:r w:rsidRPr="00325778">
        <w:rPr>
          <w:sz w:val="18"/>
          <w:szCs w:val="18"/>
        </w:rPr>
        <w:t>Zhotovitel se zavazuje řádně označit staveniště v souladu s obecně platnými právními předpisy.</w:t>
      </w:r>
      <w:bookmarkEnd w:id="2"/>
      <w:r w:rsidRPr="00325778">
        <w:rPr>
          <w:sz w:val="18"/>
          <w:szCs w:val="18"/>
        </w:rPr>
        <w:t xml:space="preserve"> </w:t>
      </w:r>
    </w:p>
    <w:p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lastRenderedPageBreak/>
        <w:t>Zhotovitel je oprávněn umístit na staveništi informační tabule o provádění díla jeho osobou. Vzhled a údaje na informační tabuli si zhotovitel v případě žádosti nechá předem odsouhlasit objednatelem.</w:t>
      </w:r>
    </w:p>
    <w:p w:rsidR="00504597" w:rsidRPr="00325778" w:rsidRDefault="00504597" w:rsidP="00B8022C">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325778" w:rsidRDefault="001624A5" w:rsidP="00B8022C">
      <w:pPr>
        <w:numPr>
          <w:ilvl w:val="0"/>
          <w:numId w:val="22"/>
        </w:numPr>
        <w:spacing w:before="60"/>
        <w:ind w:left="425" w:hanging="425"/>
        <w:jc w:val="both"/>
        <w:rPr>
          <w:sz w:val="18"/>
          <w:szCs w:val="18"/>
        </w:rPr>
      </w:pPr>
      <w:r w:rsidRPr="00325778">
        <w:rPr>
          <w:sz w:val="18"/>
          <w:szCs w:val="18"/>
        </w:rPr>
        <w:t>Zhotovitel se zavazuj</w:t>
      </w:r>
      <w:r w:rsidR="002939D5">
        <w:rPr>
          <w:sz w:val="18"/>
          <w:szCs w:val="18"/>
        </w:rPr>
        <w:t>e v termínu sjednaném v čl. VI.1</w:t>
      </w:r>
      <w:r w:rsidR="00FE0EC7" w:rsidRPr="00325778">
        <w:rPr>
          <w:sz w:val="18"/>
          <w:szCs w:val="18"/>
        </w:rPr>
        <w:t>.</w:t>
      </w:r>
      <w:r w:rsidR="0067752A">
        <w:rPr>
          <w:sz w:val="18"/>
          <w:szCs w:val="18"/>
        </w:rPr>
        <w:t>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rsidR="00130856" w:rsidRPr="00325778" w:rsidRDefault="00130856" w:rsidP="0050623F">
      <w:pPr>
        <w:rPr>
          <w:sz w:val="18"/>
          <w:szCs w:val="18"/>
        </w:rPr>
      </w:pPr>
    </w:p>
    <w:p w:rsidR="006A4E06" w:rsidRDefault="006A4E06" w:rsidP="0050623F">
      <w:pPr>
        <w:rPr>
          <w:sz w:val="18"/>
          <w:szCs w:val="18"/>
        </w:rPr>
      </w:pPr>
    </w:p>
    <w:p w:rsidR="0015411F" w:rsidRPr="00325778" w:rsidRDefault="0015411F" w:rsidP="0050623F">
      <w:pPr>
        <w:rPr>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Požadavky na zhotovitele</w:t>
      </w:r>
    </w:p>
    <w:p w:rsidR="005D6A0E" w:rsidRPr="00325778" w:rsidRDefault="005D6A0E" w:rsidP="00B8022C">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rsidR="005D6A0E" w:rsidRPr="00325778" w:rsidRDefault="005D6A0E" w:rsidP="00B8022C">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325778" w:rsidRDefault="005D6A0E" w:rsidP="00B8022C">
      <w:pPr>
        <w:numPr>
          <w:ilvl w:val="0"/>
          <w:numId w:val="4"/>
        </w:numPr>
        <w:spacing w:before="60"/>
        <w:ind w:left="425" w:hanging="425"/>
        <w:jc w:val="both"/>
        <w:rPr>
          <w:b/>
          <w:sz w:val="18"/>
          <w:szCs w:val="18"/>
        </w:rPr>
      </w:pPr>
      <w:r w:rsidRPr="00325778">
        <w:rPr>
          <w:b/>
          <w:sz w:val="18"/>
          <w:szCs w:val="18"/>
        </w:rPr>
        <w:t>Zhotovitel je povinen:</w:t>
      </w:r>
    </w:p>
    <w:p w:rsidR="005D6A0E" w:rsidRPr="00B03EB4" w:rsidRDefault="00F81326" w:rsidP="00B8022C">
      <w:pPr>
        <w:numPr>
          <w:ilvl w:val="0"/>
          <w:numId w:val="19"/>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rsidR="005D6A0E" w:rsidRPr="00325778" w:rsidRDefault="005D6A0E" w:rsidP="00B8022C">
      <w:pPr>
        <w:numPr>
          <w:ilvl w:val="0"/>
          <w:numId w:val="19"/>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rsidR="005D6A0E" w:rsidRPr="00325778" w:rsidRDefault="005D6A0E" w:rsidP="00B8022C">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rsidR="005D6A0E" w:rsidRPr="00325778" w:rsidRDefault="005D6A0E" w:rsidP="00B8022C">
      <w:pPr>
        <w:numPr>
          <w:ilvl w:val="0"/>
          <w:numId w:val="5"/>
        </w:numPr>
        <w:spacing w:before="60"/>
        <w:ind w:left="425" w:hanging="425"/>
        <w:jc w:val="both"/>
        <w:rPr>
          <w:sz w:val="18"/>
          <w:szCs w:val="18"/>
        </w:rPr>
      </w:pPr>
      <w:r w:rsidRPr="00325778">
        <w:rPr>
          <w:sz w:val="18"/>
          <w:szCs w:val="18"/>
        </w:rPr>
        <w:t>V průběhu prací na stavbě vede zhotovitel stavební deník.</w:t>
      </w:r>
    </w:p>
    <w:p w:rsidR="005D6A0E" w:rsidRPr="00325778" w:rsidRDefault="005D6A0E" w:rsidP="00B8022C">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Default="005D6A0E" w:rsidP="00B8022C">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rsidR="005D6A0E" w:rsidRPr="00325778" w:rsidRDefault="005D6A0E" w:rsidP="00B8022C">
      <w:pPr>
        <w:numPr>
          <w:ilvl w:val="0"/>
          <w:numId w:val="5"/>
        </w:numPr>
        <w:spacing w:before="60"/>
        <w:ind w:left="425" w:hanging="425"/>
        <w:jc w:val="both"/>
        <w:rPr>
          <w:sz w:val="18"/>
          <w:szCs w:val="18"/>
        </w:rPr>
      </w:pPr>
      <w:r w:rsidRPr="00325778">
        <w:rPr>
          <w:sz w:val="18"/>
          <w:szCs w:val="18"/>
        </w:rPr>
        <w:lastRenderedPageBreak/>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325778" w:rsidRDefault="005D6A0E" w:rsidP="00B8022C">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F70246" w:rsidRPr="00325778" w:rsidRDefault="00F70246" w:rsidP="00B8022C">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530D74" w:rsidRPr="00325778" w:rsidRDefault="005D6A0E" w:rsidP="00B8022C">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w:t>
      </w:r>
      <w:r w:rsidR="00BE6EB1">
        <w:rPr>
          <w:sz w:val="18"/>
          <w:szCs w:val="18"/>
        </w:rPr>
        <w:t xml:space="preserve">ve dvou vyhotoveních </w:t>
      </w:r>
      <w:r w:rsidRPr="00325778">
        <w:rPr>
          <w:sz w:val="18"/>
          <w:szCs w:val="18"/>
        </w:rPr>
        <w:t xml:space="preserve">a </w:t>
      </w:r>
      <w:r w:rsidR="00530D74" w:rsidRPr="00325778">
        <w:rPr>
          <w:sz w:val="18"/>
          <w:szCs w:val="18"/>
        </w:rPr>
        <w:t>2</w:t>
      </w:r>
      <w:r w:rsidRPr="00325778">
        <w:rPr>
          <w:sz w:val="18"/>
          <w:szCs w:val="18"/>
        </w:rPr>
        <w:t xml:space="preserve"> </w:t>
      </w:r>
      <w:proofErr w:type="spellStart"/>
      <w:r w:rsidRPr="00325778">
        <w:rPr>
          <w:sz w:val="18"/>
          <w:szCs w:val="18"/>
        </w:rPr>
        <w:t>paré</w:t>
      </w:r>
      <w:proofErr w:type="spellEnd"/>
      <w:r w:rsidRPr="00325778">
        <w:rPr>
          <w:sz w:val="18"/>
          <w:szCs w:val="18"/>
        </w:rPr>
        <w:t xml:space="preserve">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rsidR="005D6A0E" w:rsidRPr="00325778" w:rsidRDefault="005D6A0E" w:rsidP="00B8022C">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325778" w:rsidRDefault="005D6A0E" w:rsidP="00B8022C">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rsidR="0095651B" w:rsidRDefault="0095651B" w:rsidP="0095651B">
      <w:pPr>
        <w:spacing w:before="60"/>
        <w:jc w:val="both"/>
        <w:rPr>
          <w:sz w:val="18"/>
          <w:szCs w:val="18"/>
        </w:rPr>
      </w:pPr>
    </w:p>
    <w:p w:rsidR="0015411F" w:rsidRDefault="0015411F" w:rsidP="0015411F">
      <w:pPr>
        <w:jc w:val="both"/>
        <w:rPr>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Platební podmínky </w:t>
      </w:r>
    </w:p>
    <w:p w:rsidR="00492E75"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EB6B1C" w:rsidRPr="00325778" w:rsidRDefault="005D6A0E" w:rsidP="00B8022C">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rsidR="005D6A0E"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splatnosti</w:t>
      </w:r>
    </w:p>
    <w:p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rsidR="0062283D" w:rsidRPr="00325778" w:rsidRDefault="0062283D" w:rsidP="00B8022C">
      <w:pPr>
        <w:numPr>
          <w:ilvl w:val="0"/>
          <w:numId w:val="11"/>
        </w:numPr>
        <w:tabs>
          <w:tab w:val="clear" w:pos="1429"/>
          <w:tab w:val="left" w:pos="-1985"/>
        </w:tabs>
        <w:ind w:left="709" w:hanging="284"/>
        <w:jc w:val="both"/>
        <w:rPr>
          <w:sz w:val="18"/>
          <w:szCs w:val="18"/>
        </w:rPr>
      </w:pPr>
      <w:r w:rsidRPr="00325778">
        <w:rPr>
          <w:sz w:val="18"/>
          <w:szCs w:val="18"/>
        </w:rPr>
        <w:lastRenderedPageBreak/>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rsidR="00155457" w:rsidRPr="00325778" w:rsidRDefault="003A2380"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rsidR="005D6A0E" w:rsidRDefault="005D6A0E" w:rsidP="005D6A0E">
      <w:pPr>
        <w:jc w:val="both"/>
        <w:rPr>
          <w:sz w:val="18"/>
          <w:szCs w:val="18"/>
        </w:rPr>
      </w:pPr>
    </w:p>
    <w:p w:rsidR="00745F90" w:rsidRDefault="00745F90" w:rsidP="005D6A0E">
      <w:pPr>
        <w:jc w:val="both"/>
        <w:rPr>
          <w:sz w:val="18"/>
          <w:szCs w:val="18"/>
        </w:rPr>
      </w:pPr>
    </w:p>
    <w:p w:rsidR="005D6A0E" w:rsidRPr="00325778" w:rsidRDefault="00155457" w:rsidP="00B8022C">
      <w:pPr>
        <w:numPr>
          <w:ilvl w:val="0"/>
          <w:numId w:val="24"/>
        </w:numPr>
        <w:spacing w:after="240"/>
        <w:ind w:left="357" w:hanging="357"/>
        <w:jc w:val="center"/>
        <w:rPr>
          <w:b/>
          <w:sz w:val="18"/>
          <w:szCs w:val="18"/>
        </w:rPr>
      </w:pPr>
      <w:r w:rsidRPr="00325778">
        <w:rPr>
          <w:b/>
          <w:sz w:val="18"/>
          <w:szCs w:val="18"/>
        </w:rPr>
        <w:t>Odpovědnost za vady – záruka</w:t>
      </w:r>
    </w:p>
    <w:p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3" w:name="_Ref499012177"/>
    </w:p>
    <w:p w:rsidR="00FE640F" w:rsidRPr="00325778" w:rsidRDefault="00FE640F" w:rsidP="00B8022C">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FE640F" w:rsidRPr="00325778" w:rsidRDefault="00FE640F" w:rsidP="00B8022C">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5341F7" w:rsidRPr="00325778" w:rsidRDefault="005341F7" w:rsidP="00B8022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FE640F" w:rsidRPr="00325778" w:rsidRDefault="00FE640F" w:rsidP="00B8022C">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325778" w:rsidRDefault="005D6A0E" w:rsidP="00B8022C">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325778" w:rsidRDefault="00130856" w:rsidP="0047439F">
      <w:pPr>
        <w:rPr>
          <w:sz w:val="18"/>
          <w:szCs w:val="18"/>
        </w:rPr>
      </w:pPr>
    </w:p>
    <w:p w:rsidR="00C7255F" w:rsidRDefault="00C7255F">
      <w:pPr>
        <w:rPr>
          <w:sz w:val="18"/>
          <w:szCs w:val="18"/>
        </w:rPr>
      </w:pPr>
      <w:r>
        <w:rPr>
          <w:sz w:val="18"/>
          <w:szCs w:val="18"/>
        </w:rPr>
        <w:br w:type="page"/>
      </w:r>
    </w:p>
    <w:p w:rsidR="001F3DD7" w:rsidRDefault="001F3DD7" w:rsidP="0047439F">
      <w:pPr>
        <w:rPr>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Smluvní pokuty</w:t>
      </w:r>
    </w:p>
    <w:p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9409A7">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9409A7">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sidR="009409A7">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6763B" w:rsidRPr="00325778" w:rsidRDefault="0026763B"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Smluvní pokuta nebude objednatelem uplatněna v případě řádného a včasného dokončení díla a předání předmětu díla objednateli dle čl. VI.</w:t>
      </w:r>
      <w:r w:rsidR="00A32507">
        <w:rPr>
          <w:rFonts w:ascii="Arial" w:hAnsi="Arial" w:cs="Arial"/>
          <w:b/>
          <w:sz w:val="18"/>
          <w:szCs w:val="18"/>
        </w:rPr>
        <w:t>1</w:t>
      </w:r>
      <w:r>
        <w:rPr>
          <w:rFonts w:ascii="Arial" w:hAnsi="Arial" w:cs="Arial"/>
          <w:b/>
          <w:sz w:val="18"/>
          <w:szCs w:val="18"/>
        </w:rPr>
        <w:t>.</w:t>
      </w:r>
      <w:r w:rsidR="00650C98">
        <w:rPr>
          <w:rFonts w:ascii="Arial" w:hAnsi="Arial" w:cs="Arial"/>
          <w:b/>
          <w:sz w:val="18"/>
          <w:szCs w:val="18"/>
        </w:rPr>
        <w:t>c)</w:t>
      </w:r>
      <w:r>
        <w:rPr>
          <w:rFonts w:ascii="Arial" w:hAnsi="Arial" w:cs="Arial"/>
          <w:b/>
          <w:sz w:val="18"/>
          <w:szCs w:val="18"/>
        </w:rPr>
        <w:t xml:space="preserve"> této smlouvy.</w:t>
      </w:r>
    </w:p>
    <w:p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1F3DD7" w:rsidRPr="00325778" w:rsidRDefault="001F3DD7"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V případě porušení čl. III.1.</w:t>
      </w:r>
      <w:r w:rsidR="00C157B3">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iv</w:t>
      </w:r>
      <w:proofErr w:type="spell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00C7255F" w:rsidRPr="00C7255F">
        <w:rPr>
          <w:rFonts w:ascii="Arial" w:hAnsi="Arial" w:cs="Arial"/>
          <w:b/>
          <w:sz w:val="18"/>
          <w:szCs w:val="18"/>
        </w:rPr>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F70246" w:rsidRPr="00325778" w:rsidRDefault="00F70246"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AA5EFF" w:rsidRPr="00325778" w:rsidRDefault="00AA5EFF"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AA5EFF"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sidR="00235CB5">
        <w:rPr>
          <w:rFonts w:ascii="Arial" w:hAnsi="Arial" w:cs="Arial"/>
          <w:b/>
          <w:sz w:val="18"/>
          <w:szCs w:val="18"/>
        </w:rPr>
        <w:t>ů</w:t>
      </w:r>
      <w:r w:rsidRPr="00325778">
        <w:rPr>
          <w:rFonts w:ascii="Arial" w:hAnsi="Arial" w:cs="Arial"/>
          <w:sz w:val="18"/>
          <w:szCs w:val="18"/>
        </w:rPr>
        <w:t xml:space="preserve"> od jejího vystavení.</w:t>
      </w:r>
    </w:p>
    <w:p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2C29ED" w:rsidRPr="00325778" w:rsidRDefault="002C29ED" w:rsidP="00325778">
      <w:pPr>
        <w:pStyle w:val="Zkladntextodsazen3"/>
        <w:spacing w:before="60"/>
        <w:ind w:left="0" w:firstLine="0"/>
        <w:rPr>
          <w:color w:val="auto"/>
          <w:sz w:val="18"/>
          <w:szCs w:val="18"/>
        </w:rPr>
      </w:pPr>
    </w:p>
    <w:p w:rsidR="00364F5E" w:rsidRPr="00325778" w:rsidRDefault="00364F5E" w:rsidP="005D6A0E">
      <w:pPr>
        <w:pStyle w:val="Zkladntextodsazen3"/>
        <w:ind w:left="0" w:firstLine="0"/>
        <w:rPr>
          <w:color w:val="auto"/>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Podmínky provádění díla za provozu </w:t>
      </w:r>
    </w:p>
    <w:p w:rsidR="00BD7A9C" w:rsidRDefault="00E70BD2" w:rsidP="00B8022C">
      <w:pPr>
        <w:pStyle w:val="Zkladntextodsazen"/>
        <w:numPr>
          <w:ilvl w:val="0"/>
          <w:numId w:val="26"/>
        </w:numPr>
        <w:spacing w:before="60"/>
        <w:ind w:left="425" w:hanging="425"/>
        <w:rPr>
          <w:i w:val="0"/>
          <w:color w:val="auto"/>
          <w:sz w:val="18"/>
          <w:szCs w:val="18"/>
        </w:rPr>
      </w:pPr>
      <w:r>
        <w:rPr>
          <w:i w:val="0"/>
          <w:color w:val="auto"/>
          <w:sz w:val="18"/>
          <w:szCs w:val="18"/>
        </w:rPr>
        <w:t xml:space="preserve">Stavební práce budou probíhat za provozu </w:t>
      </w:r>
      <w:r w:rsidR="00004BA0">
        <w:rPr>
          <w:i w:val="0"/>
          <w:color w:val="auto"/>
          <w:sz w:val="18"/>
          <w:szCs w:val="18"/>
        </w:rPr>
        <w:t xml:space="preserve">nemocnice </w:t>
      </w:r>
      <w:r>
        <w:rPr>
          <w:i w:val="0"/>
          <w:color w:val="auto"/>
          <w:sz w:val="18"/>
          <w:szCs w:val="18"/>
        </w:rPr>
        <w:t>a z</w:t>
      </w:r>
      <w:r w:rsidR="00BD7A9C" w:rsidRPr="00325778">
        <w:rPr>
          <w:i w:val="0"/>
          <w:color w:val="auto"/>
          <w:sz w:val="18"/>
          <w:szCs w:val="18"/>
        </w:rPr>
        <w:t xml:space="preserve">hotovitel </w:t>
      </w:r>
      <w:r>
        <w:rPr>
          <w:i w:val="0"/>
          <w:color w:val="auto"/>
          <w:sz w:val="18"/>
          <w:szCs w:val="18"/>
        </w:rPr>
        <w:t>se seznámil s provozními podmínkami</w:t>
      </w:r>
      <w:r w:rsidR="0068031F">
        <w:rPr>
          <w:i w:val="0"/>
          <w:color w:val="auto"/>
          <w:sz w:val="18"/>
          <w:szCs w:val="18"/>
        </w:rPr>
        <w:t xml:space="preserve"> </w:t>
      </w:r>
      <w:r w:rsidR="00004BA0">
        <w:rPr>
          <w:i w:val="0"/>
          <w:color w:val="auto"/>
          <w:sz w:val="18"/>
          <w:szCs w:val="18"/>
        </w:rPr>
        <w:t xml:space="preserve">nemocnice </w:t>
      </w:r>
      <w:r>
        <w:rPr>
          <w:i w:val="0"/>
          <w:color w:val="auto"/>
          <w:sz w:val="18"/>
          <w:szCs w:val="18"/>
        </w:rPr>
        <w:t xml:space="preserve">a </w:t>
      </w:r>
      <w:r w:rsidR="00BD7A9C" w:rsidRPr="00325778">
        <w:rPr>
          <w:i w:val="0"/>
          <w:color w:val="auto"/>
          <w:sz w:val="18"/>
          <w:szCs w:val="18"/>
        </w:rPr>
        <w:t xml:space="preserve">zodpovídá </w:t>
      </w:r>
      <w:r>
        <w:rPr>
          <w:i w:val="0"/>
          <w:color w:val="auto"/>
          <w:sz w:val="18"/>
          <w:szCs w:val="18"/>
        </w:rPr>
        <w:t xml:space="preserve">za organizaci své práce tak, aby nedošlo </w:t>
      </w:r>
      <w:r w:rsidR="00CE1C20">
        <w:rPr>
          <w:i w:val="0"/>
          <w:color w:val="auto"/>
          <w:sz w:val="18"/>
          <w:szCs w:val="18"/>
        </w:rPr>
        <w:t xml:space="preserve">při stavebních pracích </w:t>
      </w:r>
      <w:r>
        <w:rPr>
          <w:i w:val="0"/>
          <w:color w:val="auto"/>
          <w:sz w:val="18"/>
          <w:szCs w:val="18"/>
        </w:rPr>
        <w:t xml:space="preserve">k ohrožení na zdraví či životech uživatelů </w:t>
      </w:r>
      <w:r w:rsidR="00004BA0">
        <w:rPr>
          <w:i w:val="0"/>
          <w:color w:val="auto"/>
          <w:sz w:val="18"/>
          <w:szCs w:val="18"/>
        </w:rPr>
        <w:t xml:space="preserve">nemocnice </w:t>
      </w:r>
      <w:r>
        <w:rPr>
          <w:i w:val="0"/>
          <w:color w:val="auto"/>
          <w:sz w:val="18"/>
          <w:szCs w:val="18"/>
        </w:rPr>
        <w:t xml:space="preserve">a poškození majetku </w:t>
      </w:r>
      <w:r w:rsidR="00004BA0">
        <w:rPr>
          <w:i w:val="0"/>
          <w:color w:val="auto"/>
          <w:sz w:val="18"/>
          <w:szCs w:val="18"/>
        </w:rPr>
        <w:t>nemocnice</w:t>
      </w:r>
      <w:r>
        <w:rPr>
          <w:i w:val="0"/>
          <w:color w:val="auto"/>
          <w:sz w:val="18"/>
          <w:szCs w:val="18"/>
        </w:rPr>
        <w:t>.</w:t>
      </w:r>
    </w:p>
    <w:p w:rsidR="00CE1C20" w:rsidRPr="00325778" w:rsidRDefault="00CE1C20" w:rsidP="00CE1C20">
      <w:pPr>
        <w:pStyle w:val="Zkladntextodsazen"/>
        <w:spacing w:before="60"/>
        <w:ind w:firstLine="0"/>
        <w:rPr>
          <w:i w:val="0"/>
          <w:color w:val="auto"/>
          <w:sz w:val="18"/>
          <w:szCs w:val="18"/>
        </w:rPr>
      </w:pPr>
    </w:p>
    <w:p w:rsidR="002C29ED" w:rsidRPr="00325778" w:rsidRDefault="002C29ED" w:rsidP="00EB6B1C">
      <w:pPr>
        <w:ind w:right="283"/>
        <w:jc w:val="both"/>
        <w:rPr>
          <w:b/>
          <w:sz w:val="18"/>
          <w:szCs w:val="18"/>
        </w:rPr>
      </w:pPr>
    </w:p>
    <w:p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Ostatní podmínky </w:t>
      </w:r>
    </w:p>
    <w:p w:rsidR="005D6A0E" w:rsidRPr="00325778" w:rsidRDefault="00C75750" w:rsidP="00B8022C">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C75750" w:rsidRPr="00325778" w:rsidRDefault="00C75750" w:rsidP="00B8022C">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C75750" w:rsidRPr="00325778" w:rsidRDefault="00C75750" w:rsidP="00B8022C">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5D6A0E" w:rsidRPr="00325778" w:rsidRDefault="005D6A0E" w:rsidP="00B8022C">
      <w:pPr>
        <w:numPr>
          <w:ilvl w:val="0"/>
          <w:numId w:val="8"/>
        </w:numPr>
        <w:spacing w:before="60"/>
        <w:ind w:left="425" w:hanging="425"/>
        <w:jc w:val="both"/>
        <w:rPr>
          <w:sz w:val="18"/>
          <w:szCs w:val="18"/>
        </w:rPr>
      </w:pPr>
      <w:r w:rsidRPr="00325778">
        <w:rPr>
          <w:sz w:val="18"/>
          <w:szCs w:val="18"/>
        </w:rPr>
        <w:lastRenderedPageBreak/>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rsidR="005D6A0E" w:rsidRPr="00325778" w:rsidRDefault="005D6A0E" w:rsidP="00B8022C">
      <w:pPr>
        <w:numPr>
          <w:ilvl w:val="0"/>
          <w:numId w:val="8"/>
        </w:numPr>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rsidR="005D6A0E" w:rsidRPr="00325778" w:rsidRDefault="00057245" w:rsidP="00B8022C">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rsidR="005D6A0E" w:rsidRPr="00325778" w:rsidRDefault="00057245" w:rsidP="00B8022C">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325778" w:rsidRDefault="005D6A0E" w:rsidP="00B8022C">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5D6A0E" w:rsidRPr="00325778" w:rsidRDefault="005D6A0E" w:rsidP="00B8022C">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5D6A0E" w:rsidRDefault="005D6A0E" w:rsidP="00B8022C">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F81326" w:rsidRPr="00325778" w:rsidRDefault="00F81326" w:rsidP="00B8022C">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rsidR="00532E03" w:rsidRPr="00325778" w:rsidRDefault="00532E03" w:rsidP="00B8022C">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5D6A0E" w:rsidRPr="00325778" w:rsidRDefault="005D6A0E" w:rsidP="00B8022C">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rsidR="00BB0A9D" w:rsidRPr="00325778" w:rsidRDefault="00BB0A9D" w:rsidP="00B8022C">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FD7A6F" w:rsidRPr="00325778" w:rsidRDefault="00FD7A6F" w:rsidP="00B8022C">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rsidR="00FD7A6F" w:rsidRDefault="00FD7A6F" w:rsidP="00B8022C">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DB3883" w:rsidRPr="00325778" w:rsidRDefault="00DB3883" w:rsidP="00DB3883">
      <w:pPr>
        <w:pStyle w:val="Zkladntext"/>
        <w:numPr>
          <w:ilvl w:val="0"/>
          <w:numId w:val="8"/>
        </w:numPr>
        <w:tabs>
          <w:tab w:val="clear" w:pos="786"/>
        </w:tabs>
        <w:spacing w:before="60"/>
        <w:ind w:left="425" w:hanging="425"/>
        <w:jc w:val="both"/>
        <w:rPr>
          <w:sz w:val="18"/>
          <w:szCs w:val="18"/>
        </w:rPr>
      </w:pPr>
      <w:r w:rsidRPr="00DB3883">
        <w:rPr>
          <w:sz w:val="18"/>
          <w:szCs w:val="18"/>
        </w:rPr>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rsidR="005D6A0E" w:rsidRPr="00325778" w:rsidRDefault="00A578BA" w:rsidP="00DB3883">
      <w:pPr>
        <w:pStyle w:val="Odstavecseseznamem"/>
        <w:numPr>
          <w:ilvl w:val="0"/>
          <w:numId w:val="8"/>
        </w:numPr>
        <w:tabs>
          <w:tab w:val="clear" w:pos="786"/>
        </w:tabs>
        <w:spacing w:before="60"/>
        <w:ind w:left="425" w:right="567" w:hanging="425"/>
        <w:jc w:val="both"/>
        <w:rPr>
          <w:snapToGrid w:val="0"/>
          <w:sz w:val="18"/>
          <w:szCs w:val="18"/>
        </w:rPr>
      </w:pPr>
      <w:r w:rsidRPr="00325778">
        <w:rPr>
          <w:snapToGrid w:val="0"/>
          <w:sz w:val="18"/>
          <w:szCs w:val="18"/>
        </w:rPr>
        <w:t>Smluvní strany autentičnost této smlouvy potvrzují svými podpisy</w:t>
      </w:r>
      <w:r w:rsidR="00DB3883">
        <w:rPr>
          <w:snapToGrid w:val="0"/>
          <w:sz w:val="18"/>
          <w:szCs w:val="18"/>
        </w:rPr>
        <w:t>.</w:t>
      </w:r>
    </w:p>
    <w:p w:rsidR="00CC7C8B" w:rsidRDefault="00CC7C8B" w:rsidP="00CC7C8B">
      <w:pPr>
        <w:ind w:right="566"/>
        <w:jc w:val="both"/>
        <w:rPr>
          <w:snapToGrid w:val="0"/>
          <w:sz w:val="16"/>
          <w:szCs w:val="16"/>
        </w:rPr>
      </w:pPr>
    </w:p>
    <w:p w:rsidR="00CC7C8B" w:rsidRDefault="00CC7C8B" w:rsidP="00CC7C8B">
      <w:pPr>
        <w:ind w:right="566"/>
        <w:jc w:val="both"/>
        <w:rPr>
          <w:snapToGrid w:val="0"/>
          <w:sz w:val="16"/>
          <w:szCs w:val="16"/>
        </w:rPr>
      </w:pPr>
    </w:p>
    <w:p w:rsidR="00CC7C8B" w:rsidRPr="00CC7C8B" w:rsidRDefault="00CC7C8B" w:rsidP="00CC7C8B">
      <w:pPr>
        <w:ind w:right="566"/>
        <w:jc w:val="both"/>
        <w:rPr>
          <w:snapToGrid w:val="0"/>
          <w:sz w:val="16"/>
          <w:szCs w:val="16"/>
        </w:rPr>
      </w:pPr>
    </w:p>
    <w:p w:rsidR="00A578BA" w:rsidRPr="00FE3A68" w:rsidRDefault="00A578BA" w:rsidP="00A578BA">
      <w:pPr>
        <w:ind w:right="566"/>
        <w:jc w:val="both"/>
        <w:rPr>
          <w:sz w:val="16"/>
          <w:szCs w:val="16"/>
        </w:rPr>
      </w:pPr>
    </w:p>
    <w:p w:rsidR="00A578BA" w:rsidRPr="00C14191" w:rsidRDefault="005D6A0E" w:rsidP="005D6A0E">
      <w:pPr>
        <w:pStyle w:val="Zkladntext"/>
        <w:tabs>
          <w:tab w:val="left" w:pos="9356"/>
        </w:tabs>
        <w:ind w:right="141"/>
        <w:jc w:val="both"/>
        <w:rPr>
          <w:sz w:val="18"/>
          <w:szCs w:val="18"/>
        </w:rPr>
      </w:pPr>
      <w:r w:rsidRPr="00C14191">
        <w:rPr>
          <w:sz w:val="18"/>
          <w:szCs w:val="18"/>
        </w:rPr>
        <w:t xml:space="preserve">V Bruntále, dne: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7E3FFE" w:rsidRPr="00C14191">
        <w:rPr>
          <w:sz w:val="18"/>
          <w:szCs w:val="18"/>
          <w:highlight w:val="lightGray"/>
        </w:rPr>
        <w:t>V __________ dne</w:t>
      </w:r>
      <w:r w:rsidR="007E3FFE" w:rsidRPr="00C14191">
        <w:rPr>
          <w:sz w:val="18"/>
          <w:szCs w:val="18"/>
        </w:rPr>
        <w:t xml:space="preserve"> </w:t>
      </w:r>
      <w:r w:rsidR="007E3FFE" w:rsidRPr="00C14191">
        <w:rPr>
          <w:b/>
          <w:sz w:val="18"/>
          <w:szCs w:val="18"/>
          <w:highlight w:val="lightGray"/>
        </w:rPr>
        <w:t>(BUDE DOPLNĚNO ÚČASTNÍKEM VŘ</w:t>
      </w:r>
      <w:r w:rsidR="007E3FFE" w:rsidRPr="00C14191">
        <w:rPr>
          <w:b/>
          <w:sz w:val="18"/>
          <w:szCs w:val="18"/>
        </w:rPr>
        <w:t>)</w:t>
      </w:r>
      <w:r w:rsidRPr="00C14191">
        <w:rPr>
          <w:sz w:val="18"/>
          <w:szCs w:val="18"/>
        </w:rPr>
        <w:tab/>
      </w:r>
      <w:r w:rsidRPr="00C14191">
        <w:rPr>
          <w:sz w:val="18"/>
          <w:szCs w:val="18"/>
        </w:rPr>
        <w:tab/>
      </w:r>
    </w:p>
    <w:p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u w:val="single"/>
        </w:rPr>
      </w:pPr>
    </w:p>
    <w:p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p>
    <w:p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rsidR="0015411F" w:rsidRDefault="0015411F">
        <w:pPr>
          <w:pStyle w:val="Zpat"/>
          <w:jc w:val="right"/>
        </w:pPr>
        <w:r>
          <w:fldChar w:fldCharType="begin"/>
        </w:r>
        <w:r>
          <w:instrText>PAGE   \* MERGEFORMAT</w:instrText>
        </w:r>
        <w:r>
          <w:fldChar w:fldCharType="separate"/>
        </w:r>
        <w:r w:rsidR="00C5019F">
          <w:rPr>
            <w:noProof/>
          </w:rPr>
          <w:t>10</w:t>
        </w:r>
        <w:r>
          <w:fldChar w:fldCharType="end"/>
        </w:r>
      </w:p>
    </w:sdtContent>
  </w:sdt>
  <w:p w:rsidR="00FF6871" w:rsidRPr="001E542F" w:rsidRDefault="00FF6871" w:rsidP="000A653A">
    <w:pPr>
      <w:jc w:val="cente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Pr="00556BF9" w:rsidRDefault="00C451EA" w:rsidP="00A74AE2">
    <w:pPr>
      <w:pStyle w:val="Zhlav"/>
      <w:jc w:val="center"/>
      <w:rPr>
        <w:b/>
      </w:rPr>
    </w:pPr>
    <w:r>
      <w:rPr>
        <w:b/>
      </w:rPr>
      <w:t>Nemocnice Bruntál - o</w:t>
    </w:r>
    <w:r w:rsidR="00C642C7">
      <w:rPr>
        <w:b/>
      </w:rPr>
      <w:t xml:space="preserve">prava </w:t>
    </w:r>
    <w:r w:rsidR="0063042A">
      <w:rPr>
        <w:b/>
      </w:rPr>
      <w:t xml:space="preserve">WC </w:t>
    </w:r>
    <w:r>
      <w:rPr>
        <w:b/>
      </w:rPr>
      <w:t>pro veřejnost</w:t>
    </w:r>
    <w:r w:rsidR="007E351C">
      <w:rPr>
        <w:b/>
      </w:rPr>
      <w:t xml:space="preserve">, </w:t>
    </w:r>
    <w:r w:rsidR="0063042A">
      <w:rPr>
        <w:b/>
      </w:rPr>
      <w:t>WC 4 – 2. NP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2"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3"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5" w15:restartNumberingAfterBreak="0">
    <w:nsid w:val="58836EB2"/>
    <w:multiLevelType w:val="hybridMultilevel"/>
    <w:tmpl w:val="B6AA3882"/>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13"/>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1"/>
  </w:num>
  <w:num w:numId="7">
    <w:abstractNumId w:val="18"/>
  </w:num>
  <w:num w:numId="8">
    <w:abstractNumId w:val="3"/>
  </w:num>
  <w:num w:numId="9">
    <w:abstractNumId w:val="0"/>
  </w:num>
  <w:num w:numId="10">
    <w:abstractNumId w:val="20"/>
  </w:num>
  <w:num w:numId="11">
    <w:abstractNumId w:val="28"/>
  </w:num>
  <w:num w:numId="12">
    <w:abstractNumId w:val="11"/>
  </w:num>
  <w:num w:numId="13">
    <w:abstractNumId w:val="8"/>
  </w:num>
  <w:num w:numId="14">
    <w:abstractNumId w:val="19"/>
  </w:num>
  <w:num w:numId="15">
    <w:abstractNumId w:val="12"/>
  </w:num>
  <w:num w:numId="16">
    <w:abstractNumId w:val="29"/>
  </w:num>
  <w:num w:numId="17">
    <w:abstractNumId w:val="17"/>
  </w:num>
  <w:num w:numId="18">
    <w:abstractNumId w:val="16"/>
  </w:num>
  <w:num w:numId="19">
    <w:abstractNumId w:val="21"/>
  </w:num>
  <w:num w:numId="20">
    <w:abstractNumId w:val="7"/>
  </w:num>
  <w:num w:numId="21">
    <w:abstractNumId w:val="24"/>
  </w:num>
  <w:num w:numId="22">
    <w:abstractNumId w:val="4"/>
  </w:num>
  <w:num w:numId="23">
    <w:abstractNumId w:val="30"/>
  </w:num>
  <w:num w:numId="24">
    <w:abstractNumId w:val="9"/>
  </w:num>
  <w:num w:numId="25">
    <w:abstractNumId w:val="32"/>
  </w:num>
  <w:num w:numId="26">
    <w:abstractNumId w:val="26"/>
  </w:num>
  <w:num w:numId="27">
    <w:abstractNumId w:val="23"/>
  </w:num>
  <w:num w:numId="28">
    <w:abstractNumId w:val="5"/>
  </w:num>
  <w:num w:numId="29">
    <w:abstractNumId w:val="22"/>
  </w:num>
  <w:num w:numId="30">
    <w:abstractNumId w:val="6"/>
  </w:num>
  <w:num w:numId="31">
    <w:abstractNumId w:val="15"/>
  </w:num>
  <w:num w:numId="32">
    <w:abstractNumId w:val="14"/>
  </w:num>
  <w:num w:numId="33">
    <w:abstractNumId w:val="10"/>
  </w:num>
  <w:num w:numId="34">
    <w:abstractNumId w:val="2"/>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425"/>
  <w:hyphenationZone w:val="425"/>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4BA0"/>
    <w:rsid w:val="0000535A"/>
    <w:rsid w:val="00005727"/>
    <w:rsid w:val="00016590"/>
    <w:rsid w:val="00021CC5"/>
    <w:rsid w:val="00036FB4"/>
    <w:rsid w:val="00041970"/>
    <w:rsid w:val="00057245"/>
    <w:rsid w:val="00057EDB"/>
    <w:rsid w:val="00060967"/>
    <w:rsid w:val="0007031D"/>
    <w:rsid w:val="00082007"/>
    <w:rsid w:val="00086EA7"/>
    <w:rsid w:val="00090620"/>
    <w:rsid w:val="00093036"/>
    <w:rsid w:val="000A653A"/>
    <w:rsid w:val="000B1277"/>
    <w:rsid w:val="000D3490"/>
    <w:rsid w:val="000E56AA"/>
    <w:rsid w:val="000E69B1"/>
    <w:rsid w:val="000F1D06"/>
    <w:rsid w:val="000F3DAD"/>
    <w:rsid w:val="000F5F66"/>
    <w:rsid w:val="00100668"/>
    <w:rsid w:val="00112AC2"/>
    <w:rsid w:val="0011463D"/>
    <w:rsid w:val="00117EDF"/>
    <w:rsid w:val="00130856"/>
    <w:rsid w:val="00132382"/>
    <w:rsid w:val="00153C12"/>
    <w:rsid w:val="0015411F"/>
    <w:rsid w:val="00155457"/>
    <w:rsid w:val="00157A05"/>
    <w:rsid w:val="001624A5"/>
    <w:rsid w:val="00164D1F"/>
    <w:rsid w:val="00170FE8"/>
    <w:rsid w:val="00190ADA"/>
    <w:rsid w:val="001A22C1"/>
    <w:rsid w:val="001B37CA"/>
    <w:rsid w:val="001B6562"/>
    <w:rsid w:val="001C50AB"/>
    <w:rsid w:val="001F3D67"/>
    <w:rsid w:val="001F3DD7"/>
    <w:rsid w:val="001F7265"/>
    <w:rsid w:val="00201E8E"/>
    <w:rsid w:val="00204647"/>
    <w:rsid w:val="00211DB2"/>
    <w:rsid w:val="00216907"/>
    <w:rsid w:val="00223091"/>
    <w:rsid w:val="00225774"/>
    <w:rsid w:val="00235CB5"/>
    <w:rsid w:val="00244228"/>
    <w:rsid w:val="00244BDA"/>
    <w:rsid w:val="00247484"/>
    <w:rsid w:val="00261BDE"/>
    <w:rsid w:val="00262EDB"/>
    <w:rsid w:val="002640DD"/>
    <w:rsid w:val="0026763B"/>
    <w:rsid w:val="00280A31"/>
    <w:rsid w:val="0028659E"/>
    <w:rsid w:val="00287161"/>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171F8"/>
    <w:rsid w:val="00322879"/>
    <w:rsid w:val="00322E63"/>
    <w:rsid w:val="00325778"/>
    <w:rsid w:val="00335BA3"/>
    <w:rsid w:val="00342AE7"/>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7FF4"/>
    <w:rsid w:val="003D28EE"/>
    <w:rsid w:val="003D75BB"/>
    <w:rsid w:val="003E1300"/>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96066"/>
    <w:rsid w:val="004C0BFC"/>
    <w:rsid w:val="004D6EB1"/>
    <w:rsid w:val="004F18C4"/>
    <w:rsid w:val="004F198D"/>
    <w:rsid w:val="00504597"/>
    <w:rsid w:val="0050623F"/>
    <w:rsid w:val="005132A2"/>
    <w:rsid w:val="005161DF"/>
    <w:rsid w:val="00516E11"/>
    <w:rsid w:val="00522C6F"/>
    <w:rsid w:val="00530D74"/>
    <w:rsid w:val="00532E03"/>
    <w:rsid w:val="005341F7"/>
    <w:rsid w:val="00535881"/>
    <w:rsid w:val="005418C4"/>
    <w:rsid w:val="00547139"/>
    <w:rsid w:val="005531C4"/>
    <w:rsid w:val="00556BF9"/>
    <w:rsid w:val="005747BD"/>
    <w:rsid w:val="005830A3"/>
    <w:rsid w:val="005836CA"/>
    <w:rsid w:val="005903B2"/>
    <w:rsid w:val="005A35DD"/>
    <w:rsid w:val="005A3C72"/>
    <w:rsid w:val="005A3E13"/>
    <w:rsid w:val="005A5F96"/>
    <w:rsid w:val="005B1280"/>
    <w:rsid w:val="005C0E06"/>
    <w:rsid w:val="005C3464"/>
    <w:rsid w:val="005C3AAA"/>
    <w:rsid w:val="005D6992"/>
    <w:rsid w:val="005D6A0E"/>
    <w:rsid w:val="00602F17"/>
    <w:rsid w:val="0062283D"/>
    <w:rsid w:val="0063042A"/>
    <w:rsid w:val="0064012D"/>
    <w:rsid w:val="00650C98"/>
    <w:rsid w:val="006609FF"/>
    <w:rsid w:val="00663925"/>
    <w:rsid w:val="00666B32"/>
    <w:rsid w:val="0067752A"/>
    <w:rsid w:val="0068031F"/>
    <w:rsid w:val="006850B0"/>
    <w:rsid w:val="00687868"/>
    <w:rsid w:val="006953C1"/>
    <w:rsid w:val="006977FC"/>
    <w:rsid w:val="006979C5"/>
    <w:rsid w:val="006A4E06"/>
    <w:rsid w:val="006B4BCB"/>
    <w:rsid w:val="006C1A2A"/>
    <w:rsid w:val="006C2A36"/>
    <w:rsid w:val="006D101D"/>
    <w:rsid w:val="006E0088"/>
    <w:rsid w:val="006E3BD1"/>
    <w:rsid w:val="006F23B5"/>
    <w:rsid w:val="006F4AEA"/>
    <w:rsid w:val="00706937"/>
    <w:rsid w:val="00711C8F"/>
    <w:rsid w:val="007165F6"/>
    <w:rsid w:val="007166B8"/>
    <w:rsid w:val="0072249E"/>
    <w:rsid w:val="007224B4"/>
    <w:rsid w:val="007225CF"/>
    <w:rsid w:val="0073282B"/>
    <w:rsid w:val="00734687"/>
    <w:rsid w:val="00735E0F"/>
    <w:rsid w:val="00737887"/>
    <w:rsid w:val="007429DC"/>
    <w:rsid w:val="00744A50"/>
    <w:rsid w:val="00745F90"/>
    <w:rsid w:val="007462F9"/>
    <w:rsid w:val="007625B9"/>
    <w:rsid w:val="0076315E"/>
    <w:rsid w:val="00775800"/>
    <w:rsid w:val="00787A7B"/>
    <w:rsid w:val="0079130B"/>
    <w:rsid w:val="0079778D"/>
    <w:rsid w:val="007A7DF4"/>
    <w:rsid w:val="007C4B9F"/>
    <w:rsid w:val="007C6528"/>
    <w:rsid w:val="007D7970"/>
    <w:rsid w:val="007E351C"/>
    <w:rsid w:val="007E3FFE"/>
    <w:rsid w:val="007E456E"/>
    <w:rsid w:val="007E649C"/>
    <w:rsid w:val="007F1A43"/>
    <w:rsid w:val="007F6AF1"/>
    <w:rsid w:val="00805336"/>
    <w:rsid w:val="00815FF4"/>
    <w:rsid w:val="008173BA"/>
    <w:rsid w:val="008202E3"/>
    <w:rsid w:val="008361F9"/>
    <w:rsid w:val="00836FD9"/>
    <w:rsid w:val="00853685"/>
    <w:rsid w:val="00860E20"/>
    <w:rsid w:val="008749C7"/>
    <w:rsid w:val="00877D2E"/>
    <w:rsid w:val="0088219A"/>
    <w:rsid w:val="00883417"/>
    <w:rsid w:val="0088772A"/>
    <w:rsid w:val="008A0603"/>
    <w:rsid w:val="008A79AB"/>
    <w:rsid w:val="008B0578"/>
    <w:rsid w:val="008B1852"/>
    <w:rsid w:val="008B3BFB"/>
    <w:rsid w:val="008D42A3"/>
    <w:rsid w:val="008E0164"/>
    <w:rsid w:val="008E42B0"/>
    <w:rsid w:val="008E57D5"/>
    <w:rsid w:val="008E5B28"/>
    <w:rsid w:val="008F5A77"/>
    <w:rsid w:val="0090452D"/>
    <w:rsid w:val="009222A2"/>
    <w:rsid w:val="0092361B"/>
    <w:rsid w:val="0092514E"/>
    <w:rsid w:val="009372F4"/>
    <w:rsid w:val="009409A7"/>
    <w:rsid w:val="0094411E"/>
    <w:rsid w:val="00945EC0"/>
    <w:rsid w:val="00951893"/>
    <w:rsid w:val="00954404"/>
    <w:rsid w:val="009546A2"/>
    <w:rsid w:val="0095651B"/>
    <w:rsid w:val="00957F7B"/>
    <w:rsid w:val="00963231"/>
    <w:rsid w:val="009830E6"/>
    <w:rsid w:val="0098331E"/>
    <w:rsid w:val="00984BAF"/>
    <w:rsid w:val="00990B59"/>
    <w:rsid w:val="00991349"/>
    <w:rsid w:val="00992BEB"/>
    <w:rsid w:val="009A5520"/>
    <w:rsid w:val="009C19BF"/>
    <w:rsid w:val="009C733A"/>
    <w:rsid w:val="009E01A5"/>
    <w:rsid w:val="009E1E9C"/>
    <w:rsid w:val="009E524B"/>
    <w:rsid w:val="00A03F41"/>
    <w:rsid w:val="00A32507"/>
    <w:rsid w:val="00A33F11"/>
    <w:rsid w:val="00A35408"/>
    <w:rsid w:val="00A44EFC"/>
    <w:rsid w:val="00A462BA"/>
    <w:rsid w:val="00A55666"/>
    <w:rsid w:val="00A578BA"/>
    <w:rsid w:val="00A6553F"/>
    <w:rsid w:val="00A72847"/>
    <w:rsid w:val="00A74AE2"/>
    <w:rsid w:val="00A77728"/>
    <w:rsid w:val="00A80857"/>
    <w:rsid w:val="00A9160E"/>
    <w:rsid w:val="00AA5D4C"/>
    <w:rsid w:val="00AA5EFF"/>
    <w:rsid w:val="00AB2901"/>
    <w:rsid w:val="00AB3102"/>
    <w:rsid w:val="00AC2033"/>
    <w:rsid w:val="00AC6131"/>
    <w:rsid w:val="00AD4608"/>
    <w:rsid w:val="00AD464C"/>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61C8C"/>
    <w:rsid w:val="00B70862"/>
    <w:rsid w:val="00B737D2"/>
    <w:rsid w:val="00B8022C"/>
    <w:rsid w:val="00B85F65"/>
    <w:rsid w:val="00B86BF1"/>
    <w:rsid w:val="00B92BBE"/>
    <w:rsid w:val="00B969E7"/>
    <w:rsid w:val="00B96F32"/>
    <w:rsid w:val="00BA0DF2"/>
    <w:rsid w:val="00BA192E"/>
    <w:rsid w:val="00BA5620"/>
    <w:rsid w:val="00BB0A9D"/>
    <w:rsid w:val="00BC2743"/>
    <w:rsid w:val="00BC4966"/>
    <w:rsid w:val="00BC7ECE"/>
    <w:rsid w:val="00BD102F"/>
    <w:rsid w:val="00BD7A9C"/>
    <w:rsid w:val="00BE67FE"/>
    <w:rsid w:val="00BE6EB1"/>
    <w:rsid w:val="00BF7869"/>
    <w:rsid w:val="00C14000"/>
    <w:rsid w:val="00C14191"/>
    <w:rsid w:val="00C157B3"/>
    <w:rsid w:val="00C16C60"/>
    <w:rsid w:val="00C2116B"/>
    <w:rsid w:val="00C2359B"/>
    <w:rsid w:val="00C238E6"/>
    <w:rsid w:val="00C26191"/>
    <w:rsid w:val="00C41DD1"/>
    <w:rsid w:val="00C451EA"/>
    <w:rsid w:val="00C46B4B"/>
    <w:rsid w:val="00C5019F"/>
    <w:rsid w:val="00C507F9"/>
    <w:rsid w:val="00C514F8"/>
    <w:rsid w:val="00C55846"/>
    <w:rsid w:val="00C642C7"/>
    <w:rsid w:val="00C646BA"/>
    <w:rsid w:val="00C70DAA"/>
    <w:rsid w:val="00C7255F"/>
    <w:rsid w:val="00C7358B"/>
    <w:rsid w:val="00C74387"/>
    <w:rsid w:val="00C75750"/>
    <w:rsid w:val="00C75D1D"/>
    <w:rsid w:val="00C77C04"/>
    <w:rsid w:val="00C80E94"/>
    <w:rsid w:val="00C907A6"/>
    <w:rsid w:val="00CA623E"/>
    <w:rsid w:val="00CA7CEA"/>
    <w:rsid w:val="00CB0B5A"/>
    <w:rsid w:val="00CB16F7"/>
    <w:rsid w:val="00CB3A5C"/>
    <w:rsid w:val="00CB601A"/>
    <w:rsid w:val="00CB7E31"/>
    <w:rsid w:val="00CC2880"/>
    <w:rsid w:val="00CC7C8B"/>
    <w:rsid w:val="00CD6ACD"/>
    <w:rsid w:val="00CE1C20"/>
    <w:rsid w:val="00CE6B77"/>
    <w:rsid w:val="00CE79F2"/>
    <w:rsid w:val="00CF77DA"/>
    <w:rsid w:val="00D02DDD"/>
    <w:rsid w:val="00D03A2C"/>
    <w:rsid w:val="00D052C8"/>
    <w:rsid w:val="00D06F69"/>
    <w:rsid w:val="00D17E6D"/>
    <w:rsid w:val="00D22E36"/>
    <w:rsid w:val="00D308C8"/>
    <w:rsid w:val="00D32414"/>
    <w:rsid w:val="00D400C5"/>
    <w:rsid w:val="00D511F1"/>
    <w:rsid w:val="00D61349"/>
    <w:rsid w:val="00D649D0"/>
    <w:rsid w:val="00D86CA4"/>
    <w:rsid w:val="00DA5262"/>
    <w:rsid w:val="00DB3883"/>
    <w:rsid w:val="00DC386B"/>
    <w:rsid w:val="00DE5CAB"/>
    <w:rsid w:val="00DF30AB"/>
    <w:rsid w:val="00DF3CEA"/>
    <w:rsid w:val="00DF3F12"/>
    <w:rsid w:val="00E007B3"/>
    <w:rsid w:val="00E02EA3"/>
    <w:rsid w:val="00E12A37"/>
    <w:rsid w:val="00E16F4A"/>
    <w:rsid w:val="00E260BA"/>
    <w:rsid w:val="00E32CB0"/>
    <w:rsid w:val="00E340E4"/>
    <w:rsid w:val="00E34455"/>
    <w:rsid w:val="00E417C7"/>
    <w:rsid w:val="00E4487B"/>
    <w:rsid w:val="00E54BF4"/>
    <w:rsid w:val="00E668E0"/>
    <w:rsid w:val="00E70BD2"/>
    <w:rsid w:val="00E84E1F"/>
    <w:rsid w:val="00E86B16"/>
    <w:rsid w:val="00E86F78"/>
    <w:rsid w:val="00E87AD1"/>
    <w:rsid w:val="00EB58E2"/>
    <w:rsid w:val="00EB6687"/>
    <w:rsid w:val="00EB6B1C"/>
    <w:rsid w:val="00EB7002"/>
    <w:rsid w:val="00EC0B78"/>
    <w:rsid w:val="00EC1F95"/>
    <w:rsid w:val="00EE02EE"/>
    <w:rsid w:val="00EE2B65"/>
    <w:rsid w:val="00F1263C"/>
    <w:rsid w:val="00F16AEF"/>
    <w:rsid w:val="00F17945"/>
    <w:rsid w:val="00F2448D"/>
    <w:rsid w:val="00F4100A"/>
    <w:rsid w:val="00F42711"/>
    <w:rsid w:val="00F45C23"/>
    <w:rsid w:val="00F52BB9"/>
    <w:rsid w:val="00F5553B"/>
    <w:rsid w:val="00F56F39"/>
    <w:rsid w:val="00F63954"/>
    <w:rsid w:val="00F70246"/>
    <w:rsid w:val="00F74F9C"/>
    <w:rsid w:val="00F76056"/>
    <w:rsid w:val="00F81326"/>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8E63-3ACC-4EE5-B27C-C8267114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6500</Words>
  <Characters>38350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Wagnerová Lucie</cp:lastModifiedBy>
  <cp:revision>29</cp:revision>
  <cp:lastPrinted>2018-02-06T07:01:00Z</cp:lastPrinted>
  <dcterms:created xsi:type="dcterms:W3CDTF">2019-11-07T08:27:00Z</dcterms:created>
  <dcterms:modified xsi:type="dcterms:W3CDTF">2021-01-22T10:10:00Z</dcterms:modified>
</cp:coreProperties>
</file>