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E240EB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240EB" w:rsidRPr="004F7AE4" w:rsidRDefault="00E240EB" w:rsidP="00E240EB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3CAEB7D5" w:rsidR="00E240EB" w:rsidRPr="00C03FB8" w:rsidRDefault="00BB7649" w:rsidP="00E240EB">
            <w:pPr>
              <w:pStyle w:val="Tabulka-titulka"/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Operačný lampa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5C931" w14:textId="77777777" w:rsidR="00CF23E1" w:rsidRDefault="00CF23E1">
      <w:r>
        <w:separator/>
      </w:r>
    </w:p>
  </w:endnote>
  <w:endnote w:type="continuationSeparator" w:id="0">
    <w:p w14:paraId="29BA1AFE" w14:textId="77777777" w:rsidR="00CF23E1" w:rsidRDefault="00CF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7B81C" w14:textId="77777777" w:rsidR="00CF23E1" w:rsidRDefault="00CF23E1">
      <w:r>
        <w:separator/>
      </w:r>
    </w:p>
  </w:footnote>
  <w:footnote w:type="continuationSeparator" w:id="0">
    <w:p w14:paraId="67A5AACF" w14:textId="77777777" w:rsidR="00CF23E1" w:rsidRDefault="00CF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1D3A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5DE4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2BFD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034C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3CD1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64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FB8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23E1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40EB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2020-12-08T12:33:00Z</dcterms:modified>
</cp:coreProperties>
</file>