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0625" w14:textId="0846B70E" w:rsidR="001E604B" w:rsidRPr="001E604B" w:rsidRDefault="001E604B" w:rsidP="00A60904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4B75501C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6E71C1" w:rsidRPr="003967CD">
          <w:rPr>
            <w:rStyle w:val="Hypertextovprepojenie"/>
            <w:rFonts w:ascii="Calibri" w:eastAsia="Arial" w:hAnsi="Calibri" w:cs="Calibri"/>
            <w:lang w:eastAsia="sk"/>
          </w:rPr>
          <w:t>https://josephine.proebiz.com/sk/promoter/tender/10750/summary</w:t>
        </w:r>
      </w:hyperlink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BE862E1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07327F">
        <w:rPr>
          <w:rFonts w:ascii="Calibri" w:eastAsia="Arial" w:hAnsi="Calibri" w:cs="Calibri"/>
          <w:lang w:val="sk" w:eastAsia="sk"/>
        </w:rPr>
        <w:t>„</w:t>
      </w:r>
      <w:r w:rsidR="0007327F" w:rsidRPr="0007327F">
        <w:rPr>
          <w:rFonts w:ascii="Calibri" w:eastAsia="Calibri" w:hAnsi="Calibri" w:cs="Calibri"/>
          <w:b/>
          <w:color w:val="00000A"/>
        </w:rPr>
        <w:t>Prevodovky FLENDER - diagnostika, servis, opravy, dodávka náhradných dielov a nákup nových prevodoviek</w:t>
      </w:r>
      <w:r w:rsidR="0007327F">
        <w:rPr>
          <w:rFonts w:ascii="Calibri" w:eastAsia="Calibri" w:hAnsi="Calibri" w:cs="Calibri"/>
          <w:b/>
          <w:color w:val="00000A"/>
        </w:rPr>
        <w:t>“</w:t>
      </w:r>
    </w:p>
    <w:p w14:paraId="6A7189B0" w14:textId="34B117B2" w:rsidR="0050638E" w:rsidRDefault="001E604B" w:rsidP="00962E6A">
      <w:pPr>
        <w:spacing w:after="0" w:line="259" w:lineRule="auto"/>
        <w:jc w:val="both"/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50638E">
        <w:t>50530000-9 Opravy a údržba strojov</w:t>
      </w:r>
    </w:p>
    <w:p w14:paraId="20BC08E5" w14:textId="77777777" w:rsidR="0050638E" w:rsidRDefault="0050638E" w:rsidP="00962E6A">
      <w:pPr>
        <w:spacing w:after="0" w:line="259" w:lineRule="auto"/>
        <w:ind w:left="680" w:firstLine="680"/>
        <w:jc w:val="both"/>
      </w:pPr>
      <w:r>
        <w:t>34913000-0 Rôzne náhradné diely</w:t>
      </w:r>
    </w:p>
    <w:p w14:paraId="68ADF881" w14:textId="77777777" w:rsidR="0050638E" w:rsidRDefault="0050638E" w:rsidP="00962E6A">
      <w:pPr>
        <w:spacing w:after="0" w:line="259" w:lineRule="auto"/>
        <w:ind w:left="680" w:firstLine="680"/>
        <w:jc w:val="both"/>
      </w:pPr>
      <w:r>
        <w:t>50324200-4 Preventívna údržba</w:t>
      </w:r>
    </w:p>
    <w:p w14:paraId="4C0C3595" w14:textId="7523595B" w:rsidR="0057058A" w:rsidRDefault="0050638E" w:rsidP="00962E6A">
      <w:pPr>
        <w:spacing w:after="0" w:line="259" w:lineRule="auto"/>
        <w:ind w:left="680" w:firstLine="680"/>
        <w:jc w:val="both"/>
        <w:rPr>
          <w:rFonts w:ascii="Calibri" w:eastAsia="Arial" w:hAnsi="Calibri" w:cs="Calibri"/>
          <w:bCs/>
          <w:lang w:eastAsia="sk"/>
        </w:rPr>
      </w:pPr>
      <w:r>
        <w:t>51500000-7 Inštalácia strojov a zariadení</w:t>
      </w:r>
    </w:p>
    <w:p w14:paraId="44ADE7D6" w14:textId="77777777" w:rsidR="00C247A8" w:rsidRDefault="00C247A8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1D188958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 xml:space="preserve">, 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376A256" w14:textId="77777777" w:rsidR="00547004" w:rsidRPr="00547004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547004">
        <w:rPr>
          <w:rFonts w:cstheme="minorHAnsi"/>
          <w:color w:val="333333"/>
          <w:shd w:val="clear" w:color="auto" w:fill="FFFFFF"/>
        </w:rPr>
        <w:t>Diagnostika, servis, opravy, dodávka náhradných dielov a nákup nových prevodoviek pre závod ZEVO Bratislava (ďalej len „ZEVO“) počas obdobia 36 mesiacov.</w:t>
      </w:r>
    </w:p>
    <w:p w14:paraId="493E8612" w14:textId="77777777" w:rsidR="00547004" w:rsidRPr="00547004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547004">
        <w:rPr>
          <w:rFonts w:cstheme="minorHAnsi"/>
          <w:color w:val="333333"/>
          <w:shd w:val="clear" w:color="auto" w:fill="FFFFFF"/>
        </w:rPr>
        <w:t>Predmet zákazky ako celok je zložený zo štyroch častí:</w:t>
      </w:r>
    </w:p>
    <w:p w14:paraId="7EAA4FA7" w14:textId="43FD6B31" w:rsidR="00547004" w:rsidRPr="00547004" w:rsidRDefault="00547004" w:rsidP="00962E6A">
      <w:pPr>
        <w:pStyle w:val="Odsekzoznamu"/>
        <w:numPr>
          <w:ilvl w:val="0"/>
          <w:numId w:val="20"/>
        </w:numPr>
        <w:ind w:left="0" w:firstLine="0"/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547004">
        <w:rPr>
          <w:rFonts w:cstheme="minorHAnsi"/>
          <w:b/>
          <w:bCs/>
          <w:color w:val="333333"/>
          <w:shd w:val="clear" w:color="auto" w:fill="FFFFFF"/>
        </w:rPr>
        <w:t>Profylaktický  servis</w:t>
      </w:r>
    </w:p>
    <w:p w14:paraId="66BEC82E" w14:textId="2456A522" w:rsidR="00547004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547004">
        <w:rPr>
          <w:rFonts w:cstheme="minorHAnsi"/>
          <w:color w:val="333333"/>
          <w:shd w:val="clear" w:color="auto" w:fill="FFFFFF"/>
        </w:rPr>
        <w:t>Periodická diagnostika technického stavu prevodoviek FLENDER v závode ZEVO v maximálnom počte 900 človekohodín na obdobie 36 mesiacov.</w:t>
      </w:r>
    </w:p>
    <w:p w14:paraId="37DFE1A0" w14:textId="4A6DDE19" w:rsidR="00916738" w:rsidRPr="00916738" w:rsidRDefault="00547004" w:rsidP="00962E6A">
      <w:pPr>
        <w:pStyle w:val="Odsekzoznamu"/>
        <w:numPr>
          <w:ilvl w:val="0"/>
          <w:numId w:val="20"/>
        </w:numPr>
        <w:ind w:left="0" w:firstLine="0"/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916738">
        <w:rPr>
          <w:rFonts w:cstheme="minorHAnsi"/>
          <w:b/>
          <w:bCs/>
          <w:color w:val="333333"/>
          <w:shd w:val="clear" w:color="auto" w:fill="FFFFFF"/>
        </w:rPr>
        <w:t>Opravy prevodoviek (repas)</w:t>
      </w:r>
    </w:p>
    <w:p w14:paraId="1FBDE0D3" w14:textId="7F99A16E" w:rsidR="00547004" w:rsidRPr="00916738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916738">
        <w:rPr>
          <w:rFonts w:cstheme="minorHAnsi"/>
          <w:color w:val="333333"/>
          <w:shd w:val="clear" w:color="auto" w:fill="FFFFFF"/>
        </w:rPr>
        <w:lastRenderedPageBreak/>
        <w:t>Repasovanie a oprava prevodoviek FLENDER v závislosti na výsledku profylaktického servisu</w:t>
      </w:r>
      <w:r w:rsidR="0089163E">
        <w:rPr>
          <w:rFonts w:cstheme="minorHAnsi"/>
          <w:color w:val="333333"/>
          <w:shd w:val="clear" w:color="auto" w:fill="FFFFFF"/>
        </w:rPr>
        <w:t xml:space="preserve">                         </w:t>
      </w:r>
      <w:r w:rsidRPr="00916738">
        <w:rPr>
          <w:rFonts w:cstheme="minorHAnsi"/>
          <w:color w:val="333333"/>
          <w:shd w:val="clear" w:color="auto" w:fill="FFFFFF"/>
        </w:rPr>
        <w:t xml:space="preserve"> a s ohľadom na počet odporúčaných motohodín jednotlivých prevodoviek a opravy vynútené prevádzkovými poruchami v maximálnom počte 976 človekohodín na obdobie 36 mesiacov a použitých náhradných dielov.</w:t>
      </w:r>
    </w:p>
    <w:p w14:paraId="5266BF77" w14:textId="77777777" w:rsidR="00547004" w:rsidRPr="00547004" w:rsidRDefault="00547004" w:rsidP="00962E6A">
      <w:p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547004">
        <w:rPr>
          <w:rFonts w:cstheme="minorHAnsi"/>
          <w:b/>
          <w:bCs/>
          <w:color w:val="333333"/>
          <w:shd w:val="clear" w:color="auto" w:fill="FFFFFF"/>
        </w:rPr>
        <w:t>3.</w:t>
      </w:r>
      <w:r w:rsidRPr="00547004">
        <w:rPr>
          <w:rFonts w:cstheme="minorHAnsi"/>
          <w:b/>
          <w:bCs/>
          <w:color w:val="333333"/>
          <w:shd w:val="clear" w:color="auto" w:fill="FFFFFF"/>
        </w:rPr>
        <w:tab/>
        <w:t xml:space="preserve">Nákup a dodanie náhradných dielov </w:t>
      </w:r>
    </w:p>
    <w:p w14:paraId="4ACC16A4" w14:textId="77777777" w:rsidR="00547004" w:rsidRPr="00547004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547004">
        <w:rPr>
          <w:rFonts w:cstheme="minorHAnsi"/>
          <w:color w:val="333333"/>
          <w:shd w:val="clear" w:color="auto" w:fill="FFFFFF"/>
        </w:rPr>
        <w:t>Zabezpečenie nákupu a dodania náhradných dielov v prípade nutnosti ich použitia. Všetky zabezpečované diely musia byť výrobkom firmy FLENDER, alebo môžu byť použité diely a výrobky ktoré firma FLENDER odporúča vo svojich prevádzkových predpisoch.</w:t>
      </w:r>
    </w:p>
    <w:p w14:paraId="128D6653" w14:textId="77777777" w:rsidR="00547004" w:rsidRPr="00547004" w:rsidRDefault="00547004" w:rsidP="00962E6A">
      <w:p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547004">
        <w:rPr>
          <w:rFonts w:cstheme="minorHAnsi"/>
          <w:b/>
          <w:bCs/>
          <w:color w:val="333333"/>
          <w:shd w:val="clear" w:color="auto" w:fill="FFFFFF"/>
        </w:rPr>
        <w:t>4.</w:t>
      </w:r>
      <w:r w:rsidRPr="00547004">
        <w:rPr>
          <w:rFonts w:cstheme="minorHAnsi"/>
          <w:b/>
          <w:bCs/>
          <w:color w:val="333333"/>
          <w:shd w:val="clear" w:color="auto" w:fill="FFFFFF"/>
        </w:rPr>
        <w:tab/>
        <w:t>Nákup a dodanie nových prevodoviek</w:t>
      </w:r>
    </w:p>
    <w:p w14:paraId="6C4714F8" w14:textId="77777777" w:rsidR="00B702F5" w:rsidRDefault="00547004" w:rsidP="00962E6A">
      <w:pPr>
        <w:jc w:val="both"/>
        <w:rPr>
          <w:rFonts w:cstheme="minorHAnsi"/>
          <w:color w:val="333333"/>
          <w:shd w:val="clear" w:color="auto" w:fill="FFFFFF"/>
        </w:rPr>
      </w:pPr>
      <w:r w:rsidRPr="00547004">
        <w:rPr>
          <w:rFonts w:cstheme="minorHAnsi"/>
          <w:color w:val="333333"/>
          <w:shd w:val="clear" w:color="auto" w:fill="FFFFFF"/>
        </w:rPr>
        <w:t>Zabezpečenie nákupu a dodania nových prevodoviek FLENDER v prípade nutnosti ich použitia.</w:t>
      </w:r>
      <w:r w:rsidR="00B702F5">
        <w:rPr>
          <w:rFonts w:cstheme="minorHAnsi"/>
          <w:color w:val="333333"/>
          <w:shd w:val="clear" w:color="auto" w:fill="FFFFFF"/>
        </w:rPr>
        <w:t xml:space="preserve"> </w:t>
      </w:r>
    </w:p>
    <w:p w14:paraId="62EC4EF3" w14:textId="37B66B81" w:rsidR="00DF457C" w:rsidRDefault="00DF457C" w:rsidP="00962E6A">
      <w:pPr>
        <w:jc w:val="both"/>
        <w:rPr>
          <w:rFonts w:cstheme="minorHAnsi"/>
        </w:rPr>
      </w:pPr>
      <w:r w:rsidRPr="00DF457C">
        <w:rPr>
          <w:rFonts w:cstheme="minorHAnsi"/>
        </w:rPr>
        <w:t>Pri predložení ekvivalentného výrobku je potrebné doložiť odkaz na výrobcu (predajcu), odkaz na konkrétne parametre výrobku a predloženie certifikátu pre použitie výrobku v EU.</w:t>
      </w:r>
    </w:p>
    <w:p w14:paraId="7AE4B9BF" w14:textId="326102E0" w:rsidR="00167096" w:rsidRDefault="003B4C5E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>Bližšia špecifikácia predmetu zákazky je uvedená v prílohe č. 1 – technická špecifikácia</w:t>
      </w:r>
    </w:p>
    <w:p w14:paraId="4EB8146E" w14:textId="77777777" w:rsidR="008840BC" w:rsidRPr="00167096" w:rsidRDefault="008840BC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</w:p>
    <w:p w14:paraId="4407FB93" w14:textId="72046C3E" w:rsidR="00114F79" w:rsidRPr="00BC7473" w:rsidRDefault="00C535B8" w:rsidP="00962E6A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323A028C" w:rsidR="00C535B8" w:rsidRDefault="006B5453" w:rsidP="00962E6A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cstheme="minorHAnsi"/>
          <w:bCs/>
        </w:rPr>
        <w:t>185 347</w:t>
      </w:r>
      <w:r w:rsidR="007A0ADF" w:rsidRPr="007A0ADF">
        <w:rPr>
          <w:rFonts w:cstheme="minorHAnsi"/>
          <w:bCs/>
        </w:rPr>
        <w:t>,</w:t>
      </w:r>
      <w:r>
        <w:rPr>
          <w:rFonts w:cstheme="minorHAnsi"/>
          <w:bCs/>
        </w:rPr>
        <w:t>00</w:t>
      </w:r>
      <w:r w:rsidR="007A0ADF"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1D001295" w14:textId="3BE3818B" w:rsidR="00F6017F" w:rsidRPr="00772038" w:rsidRDefault="00F6017F" w:rsidP="009F0D3C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eastAsia="Arial" w:cstheme="minorHAnsi"/>
          <w:lang w:eastAsia="sk"/>
        </w:rPr>
      </w:pPr>
      <w:r>
        <w:rPr>
          <w:rFonts w:cstheme="minorHAnsi"/>
          <w:bCs/>
        </w:rPr>
        <w:t xml:space="preserve"> 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607B4CB4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</w:t>
      </w:r>
      <w:r w:rsidR="0089163E">
        <w:rPr>
          <w:color w:val="auto"/>
          <w:sz w:val="22"/>
          <w:szCs w:val="22"/>
        </w:rPr>
        <w:t> </w:t>
      </w:r>
      <w:r w:rsidR="00486FBC">
        <w:rPr>
          <w:color w:val="auto"/>
          <w:sz w:val="22"/>
          <w:szCs w:val="22"/>
        </w:rPr>
        <w:t>platnosťou</w:t>
      </w:r>
      <w:r w:rsidR="0089163E">
        <w:rPr>
          <w:color w:val="auto"/>
          <w:sz w:val="22"/>
          <w:szCs w:val="22"/>
        </w:rPr>
        <w:t xml:space="preserve">                        </w:t>
      </w:r>
      <w:r w:rsidR="00486FBC">
        <w:rPr>
          <w:color w:val="auto"/>
          <w:sz w:val="22"/>
          <w:szCs w:val="22"/>
        </w:rPr>
        <w:t xml:space="preserve"> </w:t>
      </w:r>
      <w:r w:rsidR="00117D2E">
        <w:rPr>
          <w:color w:val="auto"/>
          <w:sz w:val="22"/>
          <w:szCs w:val="22"/>
        </w:rPr>
        <w:t xml:space="preserve">na </w:t>
      </w:r>
      <w:r w:rsidR="00792D2E">
        <w:rPr>
          <w:color w:val="auto"/>
          <w:sz w:val="22"/>
          <w:szCs w:val="22"/>
        </w:rPr>
        <w:t>36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7FF60F4" w:rsidR="001F69CA" w:rsidRPr="00382446" w:rsidRDefault="00990923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</w:t>
      </w: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13EBAF6D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01D014F1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384BCE">
        <w:rPr>
          <w:rFonts w:cstheme="minorHAnsi"/>
          <w:color w:val="000000" w:themeColor="text1"/>
          <w:lang w:eastAsia="sk"/>
        </w:rPr>
        <w:t>36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</w:t>
      </w:r>
      <w:r w:rsidRPr="00E45F2F">
        <w:lastRenderedPageBreak/>
        <w:t xml:space="preserve">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346F5CBE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6B43FFA5" w:rsidR="009875D2" w:rsidRDefault="009875D2" w:rsidP="004C0037">
      <w:pPr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35894791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120FD8" w:rsidRPr="003967CD">
          <w:rPr>
            <w:rStyle w:val="Hypertextovprepojenie"/>
          </w:rPr>
          <w:t>https://josephine.proebiz.com/sk/promoter/tender/10750/summary</w:t>
        </w:r>
      </w:hyperlink>
      <w:r w:rsidR="00120FD8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                                                                   </w:t>
      </w:r>
      <w:r w:rsidRPr="00E45F2F">
        <w:rPr>
          <w:rFonts w:ascii="Calibri" w:eastAsia="Arial" w:hAnsi="Calibri" w:cs="Calibri"/>
          <w:lang w:eastAsia="sk"/>
        </w:rPr>
        <w:t xml:space="preserve"> 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9E461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9E461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1E55BA0E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657B79">
        <w:rPr>
          <w:rFonts w:ascii="Calibri" w:eastAsia="Arial" w:hAnsi="Calibri" w:cs="Calibri"/>
          <w:lang w:eastAsia="sk"/>
        </w:rPr>
        <w:t>1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02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C2266A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77777777" w:rsidR="00055EA8" w:rsidRDefault="009E4610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055EA8" w:rsidRPr="003967CD">
          <w:rPr>
            <w:rStyle w:val="Hypertextovprepojenie"/>
          </w:rPr>
          <w:t>https://josephine.proebiz.com/sk/promoter/tender/10750/summary</w:t>
        </w:r>
      </w:hyperlink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6020025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</w:t>
      </w:r>
      <w:r w:rsidR="00C4655D">
        <w:rPr>
          <w:rFonts w:ascii="Calibri" w:eastAsia="Arial" w:hAnsi="Calibri" w:cs="Calibri"/>
          <w:lang w:eastAsia="sk"/>
        </w:rPr>
        <w:t>.</w:t>
      </w:r>
      <w:r w:rsidR="00AC27FF">
        <w:rPr>
          <w:rFonts w:ascii="Calibri" w:eastAsia="Arial" w:hAnsi="Calibri" w:cs="Calibri"/>
          <w:lang w:eastAsia="sk"/>
        </w:rPr>
        <w:t xml:space="preserve"> tejto Výzvy.</w:t>
      </w:r>
      <w:r w:rsidR="00D26B3E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78766A34" w14:textId="71D5478C" w:rsidR="00835BAD" w:rsidRDefault="00835BA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E26AD0A" w14:textId="002B750B" w:rsidR="00835BAD" w:rsidRDefault="00835BA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Uchádzač vo svojej ponuke predloží </w:t>
      </w:r>
      <w:r w:rsidR="0050293E">
        <w:rPr>
          <w:rFonts w:ascii="Calibri" w:eastAsia="Arial" w:hAnsi="Calibri" w:cs="Calibri"/>
          <w:lang w:eastAsia="sk"/>
        </w:rPr>
        <w:t>doklad o tom, že je</w:t>
      </w:r>
      <w:r>
        <w:rPr>
          <w:rFonts w:ascii="Arial" w:hAnsi="Arial" w:cs="Arial"/>
        </w:rPr>
        <w:t xml:space="preserve"> </w:t>
      </w:r>
      <w:r w:rsidRPr="0050293E">
        <w:rPr>
          <w:rFonts w:ascii="Calibri" w:eastAsia="Arial" w:hAnsi="Calibri" w:cs="Calibri"/>
          <w:lang w:eastAsia="sk"/>
        </w:rPr>
        <w:t>autorizovaným partnerom firmy FLENDER GmbH</w:t>
      </w:r>
      <w:r w:rsidR="00C202D3">
        <w:rPr>
          <w:rFonts w:ascii="Calibri" w:eastAsia="Arial" w:hAnsi="Calibri" w:cs="Calibri"/>
          <w:lang w:eastAsia="sk"/>
        </w:rPr>
        <w:t>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362CD17C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0024C0B" w14:textId="704CACCC" w:rsidR="00406B37" w:rsidRPr="00406B37" w:rsidRDefault="00CA770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lastRenderedPageBreak/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</w:t>
      </w:r>
      <w:r w:rsidR="00505E73">
        <w:rPr>
          <w:rFonts w:ascii="Calibri" w:eastAsia="Arial" w:hAnsi="Calibri" w:cs="Calibri"/>
          <w:bCs/>
          <w:lang w:eastAsia="sk"/>
        </w:rPr>
        <w:t xml:space="preserve"> </w:t>
      </w:r>
      <w:r w:rsidR="00E64DD5">
        <w:rPr>
          <w:rFonts w:ascii="Calibri" w:eastAsia="Arial" w:hAnsi="Calibri" w:cs="Calibri"/>
          <w:bCs/>
          <w:lang w:eastAsia="sk"/>
        </w:rPr>
        <w:t>P</w:t>
      </w:r>
      <w:r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>
        <w:rPr>
          <w:rFonts w:ascii="Calibri" w:eastAsia="Arial" w:hAnsi="Calibri" w:cs="Calibri"/>
          <w:bCs/>
          <w:lang w:eastAsia="sk"/>
        </w:rPr>
        <w:t xml:space="preserve"> č.</w:t>
      </w:r>
      <w:r w:rsidR="00990923">
        <w:rPr>
          <w:rFonts w:ascii="Calibri" w:eastAsia="Arial" w:hAnsi="Calibri" w:cs="Calibri"/>
          <w:bCs/>
          <w:lang w:eastAsia="sk"/>
        </w:rPr>
        <w:t>3</w:t>
      </w:r>
      <w:r w:rsidR="00CF3A1E">
        <w:rPr>
          <w:rFonts w:ascii="Calibri" w:eastAsia="Arial" w:hAnsi="Calibri" w:cs="Calibri"/>
          <w:bCs/>
          <w:lang w:eastAsia="sk"/>
        </w:rPr>
        <w:t xml:space="preserve"> tejto Výzvy</w:t>
      </w:r>
      <w:r w:rsidR="00401936">
        <w:rPr>
          <w:rFonts w:ascii="Calibri" w:eastAsia="Arial" w:hAnsi="Calibri" w:cs="Calibri"/>
          <w:bCs/>
          <w:lang w:eastAsia="sk"/>
        </w:rPr>
        <w:t xml:space="preserve">. </w:t>
      </w:r>
      <w:r w:rsidR="00406B37" w:rsidRPr="00BC7473">
        <w:rPr>
          <w:rFonts w:ascii="Calibri" w:eastAsia="Arial" w:hAnsi="Calibri" w:cs="Calibri"/>
          <w:bCs/>
          <w:lang w:eastAsia="sk"/>
        </w:rPr>
        <w:t>Štatutár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 </w:t>
      </w:r>
      <w:r w:rsidR="00406B37" w:rsidRPr="00BC7473">
        <w:rPr>
          <w:rFonts w:ascii="Calibri" w:eastAsia="Arial" w:hAnsi="Calibri" w:cs="Calibri"/>
          <w:bCs/>
          <w:lang w:eastAsia="sk"/>
        </w:rPr>
        <w:t xml:space="preserve"> podpisom návrhu zmluvy súhlasí s podmienkami tejto zmluvy.</w:t>
      </w:r>
    </w:p>
    <w:p w14:paraId="1EB3B8DE" w14:textId="244F2795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6FAD419B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</w:t>
      </w:r>
      <w:r w:rsidRPr="00C55209">
        <w:rPr>
          <w:rFonts w:ascii="Calibri" w:eastAsia="Arial" w:hAnsi="Calibri" w:cs="Calibri"/>
          <w:lang w:eastAsia="sk"/>
        </w:rPr>
        <w:lastRenderedPageBreak/>
        <w:t xml:space="preserve">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141FC27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C202D3">
        <w:rPr>
          <w:rFonts w:ascii="Calibri" w:eastAsia="Arial" w:hAnsi="Calibri" w:cs="Calibri"/>
          <w:b/>
          <w:bCs/>
          <w:u w:color="000000"/>
          <w:lang w:eastAsia="sk"/>
        </w:rPr>
        <w:t>(</w:t>
      </w:r>
      <w:r w:rsidR="00EE4D2D">
        <w:rPr>
          <w:rFonts w:ascii="Calibri" w:eastAsia="Arial" w:hAnsi="Calibri" w:cs="Calibri"/>
          <w:b/>
          <w:bCs/>
          <w:u w:color="000000"/>
          <w:lang w:eastAsia="sk"/>
        </w:rPr>
        <w:t>vrátane príloh č. 1 až č. 4</w:t>
      </w:r>
      <w:r w:rsidR="00C202D3">
        <w:rPr>
          <w:rFonts w:ascii="Calibri" w:eastAsia="Arial" w:hAnsi="Calibri" w:cs="Calibri"/>
          <w:b/>
          <w:bCs/>
          <w:u w:color="000000"/>
          <w:lang w:eastAsia="sk"/>
        </w:rPr>
        <w:t>)</w:t>
      </w:r>
    </w:p>
    <w:p w14:paraId="21DF8C3A" w14:textId="251C0644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r w:rsidR="00916738">
        <w:rPr>
          <w:rFonts w:ascii="Calibri" w:eastAsia="Arial" w:hAnsi="Calibri" w:cs="Calibri"/>
          <w:b/>
          <w:lang w:eastAsia="sk"/>
        </w:rPr>
        <w:t>Štruktúrovaný</w:t>
      </w:r>
      <w:r w:rsidR="00475259">
        <w:rPr>
          <w:rFonts w:ascii="Calibri" w:eastAsia="Arial" w:hAnsi="Calibri" w:cs="Calibri"/>
          <w:b/>
          <w:lang w:eastAsia="sk"/>
        </w:rPr>
        <w:t xml:space="preserve"> rozpočet</w:t>
      </w:r>
      <w:r w:rsidR="00916738">
        <w:rPr>
          <w:rFonts w:ascii="Calibri" w:eastAsia="Arial" w:hAnsi="Calibri" w:cs="Calibri"/>
          <w:b/>
          <w:lang w:eastAsia="sk"/>
        </w:rPr>
        <w:t xml:space="preserve"> ceny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5831C1AF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6C7045">
        <w:rPr>
          <w:rFonts w:ascii="Calibri" w:eastAsia="Arial" w:hAnsi="Calibri" w:cs="Calibri"/>
          <w:lang w:val="sk" w:eastAsia="sk"/>
        </w:rPr>
        <w:t>4</w:t>
      </w:r>
      <w:r w:rsidR="00772C10">
        <w:rPr>
          <w:rFonts w:ascii="Calibri" w:eastAsia="Arial" w:hAnsi="Calibri" w:cs="Calibri"/>
          <w:lang w:val="sk" w:eastAsia="sk"/>
        </w:rPr>
        <w:t>.</w:t>
      </w:r>
      <w:r w:rsidR="00465846">
        <w:rPr>
          <w:rFonts w:ascii="Calibri" w:eastAsia="Arial" w:hAnsi="Calibri" w:cs="Calibri"/>
          <w:lang w:val="sk" w:eastAsia="sk"/>
        </w:rPr>
        <w:t>2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46584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67D1A" w14:textId="77777777" w:rsidR="009E4610" w:rsidRDefault="009E4610" w:rsidP="00F14090">
      <w:pPr>
        <w:spacing w:after="0" w:line="240" w:lineRule="auto"/>
      </w:pPr>
      <w:r>
        <w:separator/>
      </w:r>
    </w:p>
  </w:endnote>
  <w:endnote w:type="continuationSeparator" w:id="0">
    <w:p w14:paraId="72DFE6A4" w14:textId="77777777" w:rsidR="009E4610" w:rsidRDefault="009E4610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BEAB" w14:textId="77777777" w:rsidR="009E4610" w:rsidRDefault="009E4610" w:rsidP="00F14090">
      <w:pPr>
        <w:spacing w:after="0" w:line="240" w:lineRule="auto"/>
      </w:pPr>
      <w:r>
        <w:separator/>
      </w:r>
    </w:p>
  </w:footnote>
  <w:footnote w:type="continuationSeparator" w:id="0">
    <w:p w14:paraId="611D1864" w14:textId="77777777" w:rsidR="009E4610" w:rsidRDefault="009E4610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9E461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7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1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15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6"/>
  </w:num>
  <w:num w:numId="20">
    <w:abstractNumId w:val="17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EA8"/>
    <w:rsid w:val="00063F3D"/>
    <w:rsid w:val="00065F6D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5980"/>
    <w:rsid w:val="001E604B"/>
    <w:rsid w:val="001F69CA"/>
    <w:rsid w:val="00203801"/>
    <w:rsid w:val="00213526"/>
    <w:rsid w:val="00213CBF"/>
    <w:rsid w:val="00214679"/>
    <w:rsid w:val="002274AE"/>
    <w:rsid w:val="002417E1"/>
    <w:rsid w:val="002453CC"/>
    <w:rsid w:val="00245AED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F68BC"/>
    <w:rsid w:val="00400C51"/>
    <w:rsid w:val="00401936"/>
    <w:rsid w:val="00401E8C"/>
    <w:rsid w:val="00404E78"/>
    <w:rsid w:val="00406B37"/>
    <w:rsid w:val="00411FEE"/>
    <w:rsid w:val="00412B83"/>
    <w:rsid w:val="00416456"/>
    <w:rsid w:val="004220F3"/>
    <w:rsid w:val="0042212F"/>
    <w:rsid w:val="004301CA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93E"/>
    <w:rsid w:val="00505E73"/>
    <w:rsid w:val="0050638E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2B03"/>
    <w:rsid w:val="006843B0"/>
    <w:rsid w:val="006873FF"/>
    <w:rsid w:val="00687801"/>
    <w:rsid w:val="006A0B45"/>
    <w:rsid w:val="006A291B"/>
    <w:rsid w:val="006A45B5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E6F"/>
    <w:rsid w:val="006E183A"/>
    <w:rsid w:val="006E28CB"/>
    <w:rsid w:val="006E71C1"/>
    <w:rsid w:val="006F1EC9"/>
    <w:rsid w:val="006F44F2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038"/>
    <w:rsid w:val="00772C10"/>
    <w:rsid w:val="007805D8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228FF"/>
    <w:rsid w:val="00833D19"/>
    <w:rsid w:val="0083547A"/>
    <w:rsid w:val="00835BAD"/>
    <w:rsid w:val="00840EE0"/>
    <w:rsid w:val="008417D5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840BC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6209A"/>
    <w:rsid w:val="00962E6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C27FF"/>
    <w:rsid w:val="00AD2734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43B13"/>
    <w:rsid w:val="00B639C2"/>
    <w:rsid w:val="00B702F5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7A2E"/>
    <w:rsid w:val="00C43A8A"/>
    <w:rsid w:val="00C4655D"/>
    <w:rsid w:val="00C50260"/>
    <w:rsid w:val="00C51DE3"/>
    <w:rsid w:val="00C535B8"/>
    <w:rsid w:val="00C53DD3"/>
    <w:rsid w:val="00C55209"/>
    <w:rsid w:val="00C6114F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77C8"/>
    <w:rsid w:val="00D67DC0"/>
    <w:rsid w:val="00D70F10"/>
    <w:rsid w:val="00D71964"/>
    <w:rsid w:val="00D71CAE"/>
    <w:rsid w:val="00D729C5"/>
    <w:rsid w:val="00D7355F"/>
    <w:rsid w:val="00D8169B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0801"/>
    <w:rsid w:val="00E5190F"/>
    <w:rsid w:val="00E54356"/>
    <w:rsid w:val="00E64DD5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F111B"/>
    <w:rsid w:val="00F00C2D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7C22"/>
    <w:rsid w:val="00F90BB3"/>
    <w:rsid w:val="00F93840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0750/summary" TargetMode="External"/><Relationship Id="rId18" Type="http://schemas.openxmlformats.org/officeDocument/2006/relationships/hyperlink" Target="https://josephine.proebiz.com/sk/promoter/tender/10750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0750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72</cp:revision>
  <cp:lastPrinted>2020-07-24T07:17:00Z</cp:lastPrinted>
  <dcterms:created xsi:type="dcterms:W3CDTF">2021-02-04T15:33:00Z</dcterms:created>
  <dcterms:modified xsi:type="dcterms:W3CDTF">2021-02-04T18:06:00Z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