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Standard"/>
        <w:numPr>
          <w:ilvl w:val="0"/>
          <w:numId w:val="1"/>
        </w:numPr>
        <w:spacing w:after="0"/>
        <w:ind w:left="0" w:hanging="408"/>
        <w:rPr>
          <w:rFonts w:ascii="Times New Roman" w:eastAsia="Times New Roman" w:hAnsi="Times New Roman" w:cs="Times New Roman"/>
          <w:color w:val="2E74B5"/>
          <w:sz w:val="26"/>
        </w:rPr>
      </w:pPr>
      <w:r>
        <w:rPr>
          <w:rFonts w:ascii="Times New Roman" w:eastAsia="Times New Roman" w:hAnsi="Times New Roman" w:cs="Times New Roman"/>
          <w:color w:val="2E74B5"/>
          <w:sz w:val="26"/>
        </w:rPr>
        <w:t>čítačka BČK s označovačom papierových cestovných lístkov</w:t>
      </w:r>
    </w:p>
    <w:tbl>
      <w:tblPr>
        <w:tblW w:w="14126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"/>
        <w:gridCol w:w="7512"/>
        <w:gridCol w:w="2958"/>
        <w:gridCol w:w="2956"/>
      </w:tblGrid>
      <w:tr>
        <w:trPr>
          <w:trHeight w:val="278"/>
          <w:tblHeader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5"/>
              <w:jc w:val="center"/>
              <w:rPr>
                <w:color w:val="00000A"/>
              </w:rPr>
            </w:pPr>
          </w:p>
        </w:tc>
        <w:tc>
          <w:tcPr>
            <w:tcW w:w="13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Obchodný názov:</w:t>
            </w:r>
          </w:p>
        </w:tc>
      </w:tr>
      <w:tr>
        <w:trPr>
          <w:trHeight w:val="280"/>
          <w:tblHeader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5"/>
              <w:jc w:val="center"/>
              <w:rPr>
                <w:color w:val="00000A"/>
              </w:rPr>
            </w:pPr>
          </w:p>
        </w:tc>
        <w:tc>
          <w:tcPr>
            <w:tcW w:w="13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Výrobca, typ:</w:t>
            </w:r>
          </w:p>
        </w:tc>
      </w:tr>
      <w:tr>
        <w:trPr>
          <w:trHeight w:val="469"/>
          <w:tblHeader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Opis požadovaných funkčných a technických vlastností a parametrov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Požadované prahové hodnoty parametrov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Ponúkaná hodnota:</w:t>
            </w:r>
          </w:p>
          <w:p>
            <w:pPr>
              <w:pStyle w:val="Standard"/>
              <w:spacing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(ÁNO - NIE/hodnota parametra)</w:t>
            </w:r>
          </w:p>
        </w:tc>
      </w:tr>
      <w:tr>
        <w:trPr>
          <w:trHeight w:val="275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1.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Technická špecifikácia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priemyselné prevedenie vhodné do vozidiel (prašnosť, otrasy, teplotné podmienky)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1.2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výkonný  procesor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1.3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</w:rPr>
              <w:t>amäť</w:t>
            </w:r>
            <w:r>
              <w:rPr>
                <w:rFonts w:ascii="Times New Roman" w:eastAsia="Times New Roman" w:hAnsi="Times New Roman" w:cs="Times New Roman"/>
                <w:sz w:val="20"/>
              </w:rPr>
              <w:t>: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6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1.3.1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273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RAM – min. 256 MB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1.3.2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832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interná FLASH pamäť – min. 2 GB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1.4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čitateľný dotykový kapacitný displej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1.4.1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639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uhlopriečka displeja – min. 5‘‘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1.4.2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784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rozlíšenie – min. 640×480 pixelov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1.4.3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382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svietivosť – min. 500 cd/m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5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komunikačné rozhrania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.1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489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ethernet 10/100/Mbps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6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6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čítačka BČK – interná (parametre)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.1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058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ISO 14443 A, B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1020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.2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numPr>
                <w:ilvl w:val="0"/>
                <w:numId w:val="5"/>
              </w:numPr>
              <w:spacing w:after="2" w:line="256" w:lineRule="auto"/>
              <w:ind w:left="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akceptované typy kariet: </w:t>
            </w:r>
          </w:p>
          <w:p>
            <w:pPr>
              <w:pStyle w:val="Standard"/>
              <w:numPr>
                <w:ilvl w:val="0"/>
                <w:numId w:val="5"/>
              </w:numPr>
              <w:spacing w:after="2" w:line="256" w:lineRule="auto"/>
              <w:ind w:left="0"/>
            </w:pPr>
            <w:r>
              <w:rPr>
                <w:rFonts w:ascii="Times New Roman" w:eastAsia="Arial CE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Arial CE" w:eastAsia="Arial CE" w:hAnsi="Arial CE" w:cs="Arial CE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Mifare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Classic</w:t>
            </w:r>
            <w:proofErr w:type="spellEnd"/>
          </w:p>
          <w:p>
            <w:pPr>
              <w:pStyle w:val="Standard"/>
              <w:numPr>
                <w:ilvl w:val="0"/>
                <w:numId w:val="5"/>
              </w:numPr>
              <w:spacing w:after="2" w:line="256" w:lineRule="auto"/>
              <w:ind w:left="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Mifare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DESFire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EV1</w:t>
            </w:r>
          </w:p>
          <w:p>
            <w:pPr>
              <w:pStyle w:val="Standard"/>
              <w:numPr>
                <w:ilvl w:val="0"/>
                <w:numId w:val="5"/>
              </w:numPr>
              <w:spacing w:after="2" w:line="256" w:lineRule="auto"/>
              <w:ind w:left="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Mifare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DESFire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EV2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.3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636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ISO 7816 – min. 2 x SAM slot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6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7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922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audio výstup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8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377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mechanická konštrukcia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9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206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ergonomický dizajn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6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288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antivandal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prevedenie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653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ochrana displeja – tvrdené sklo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označovač papierových lístkov (parametre)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lastRenderedPageBreak/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.1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150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ihličková tlačiareň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.2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225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šírka lístka – 35 mm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tabs>
                <w:tab w:val="center" w:pos="12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prehlásenie o EMC kompatibilite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</w:tr>
      <w:tr>
        <w:trPr>
          <w:trHeight w:val="276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2.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Požadované funkčné charakteristiky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2.1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výdaj cestovných lístkov v tarife MHD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2.2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platba dopravnou kartou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2.3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označenie papierového cestovného lístka  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470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2.4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označenie cestovného lístka plne kompatibilné s existujúcim systémom označovačov, ktorých časť bude ponechaná v prevádzke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2.5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kontrola platnosti elektronického cestovného lístka na dopravnej karte (dáta z čítačky BČK)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2.6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kontrola zablokovaných dopravných kariet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2.7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akceptácia cestovných lístkov predávaných cez internet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6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2.8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evidencia tržby z predaných cestovných lístkov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468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2.9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nahrávanie vstupných dát (cestovné poriadky, tarify) z palubného počítača cez vozidlový ethernet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470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left="50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2.10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vyčítavanie záznamov o predaných cestovných lístkov do palubného počítača cez vozidlový ethernet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3.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Požadované parametre pre HW zariadenia do vozidla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6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3.1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napájanie z palubnej siete vozidla 24 V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3.2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pracovné napätie 10 až 32 V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3.3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rozsah pracovných teplôt – 20 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 až  + 60 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</w:rPr>
              <w:t>C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3.4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relatívna vlhkosť vzduchu 20 % až 85% bez kondenzácie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3.5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</w:tcPr>
          <w:p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stupeň ochrany IP 20</w:t>
            </w:r>
          </w:p>
        </w:tc>
        <w:tc>
          <w:tcPr>
            <w:tcW w:w="2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5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21" w:type="dxa"/>
            </w:tcMar>
            <w:vAlign w:val="center"/>
          </w:tcPr>
          <w:p>
            <w:pPr>
              <w:pStyle w:val="Standard"/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  <w:color w:val="000000"/>
          <w:sz w:val="20"/>
          <w:lang w:eastAsia="sk-SK"/>
        </w:rPr>
      </w:pPr>
      <w:r>
        <w:rPr>
          <w:rFonts w:ascii="Times New Roman" w:eastAsia="Times New Roman" w:hAnsi="Times New Roman" w:cs="Times New Roman"/>
          <w:sz w:val="20"/>
        </w:rPr>
        <w:br w:type="page"/>
      </w:r>
    </w:p>
    <w:p>
      <w:pPr>
        <w:pStyle w:val="Standard"/>
        <w:numPr>
          <w:ilvl w:val="0"/>
          <w:numId w:val="1"/>
        </w:numPr>
        <w:spacing w:after="0"/>
        <w:ind w:left="0" w:hanging="408"/>
        <w:rPr>
          <w:rFonts w:ascii="Times New Roman" w:eastAsia="Times New Roman" w:hAnsi="Times New Roman" w:cs="Times New Roman"/>
          <w:color w:val="2E74B5"/>
          <w:sz w:val="26"/>
        </w:rPr>
      </w:pPr>
      <w:r>
        <w:rPr>
          <w:rFonts w:ascii="Times New Roman" w:eastAsia="Times New Roman" w:hAnsi="Times New Roman" w:cs="Times New Roman"/>
          <w:color w:val="2E74B5"/>
          <w:sz w:val="26"/>
        </w:rPr>
        <w:lastRenderedPageBreak/>
        <w:t>čítačka BČK s tlačiarňou a EMV platbou</w:t>
      </w:r>
    </w:p>
    <w:tbl>
      <w:tblPr>
        <w:tblW w:w="14126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7591"/>
        <w:gridCol w:w="2979"/>
        <w:gridCol w:w="2980"/>
      </w:tblGrid>
      <w:tr>
        <w:trPr>
          <w:trHeight w:val="278"/>
          <w:tblHeader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5"/>
              <w:jc w:val="center"/>
              <w:rPr>
                <w:color w:val="00000A"/>
              </w:rPr>
            </w:pPr>
          </w:p>
        </w:tc>
        <w:tc>
          <w:tcPr>
            <w:tcW w:w="135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Obchodný názov:</w:t>
            </w:r>
          </w:p>
        </w:tc>
      </w:tr>
      <w:tr>
        <w:trPr>
          <w:trHeight w:val="280"/>
          <w:tblHeader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5"/>
              <w:jc w:val="center"/>
              <w:rPr>
                <w:color w:val="00000A"/>
              </w:rPr>
            </w:pPr>
          </w:p>
        </w:tc>
        <w:tc>
          <w:tcPr>
            <w:tcW w:w="135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Výrobca, typ:</w:t>
            </w:r>
          </w:p>
        </w:tc>
      </w:tr>
      <w:tr>
        <w:trPr>
          <w:trHeight w:val="469"/>
          <w:tblHeader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P.č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Opis požadovaných funkčných a technických vlastností a parametrov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1" w:right="51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Požadované prahové hodnoty parametrov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Ponúkaná hodnota:</w:t>
            </w:r>
          </w:p>
          <w:p>
            <w:pPr>
              <w:pStyle w:val="Standard"/>
              <w:spacing w:after="0" w:line="240" w:lineRule="auto"/>
              <w:ind w:left="1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(ÁNO - NIE/hodnota parametra)</w:t>
            </w:r>
          </w:p>
        </w:tc>
      </w:tr>
      <w:tr>
        <w:trPr>
          <w:trHeight w:val="275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1.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Technická špecifikácia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priemyselné prevedenie vhodné do vozidiel (prašnosť, otrasy, teplotné podmienky)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1.2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výkonný procesor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1.3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pamäť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6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1.3.1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1273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RAM – min. 256 MB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1.3.2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1832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interná FLASH pamäť – min. 2 GB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1.4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čitateľný dotykový kapacitný displej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1.4.1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1639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uhlopriečka displeja – min. 5‘‘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1.4.2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1784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rozlíšenie – min. 640×480 pixelov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1.4.3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1382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svietivosť – min. 500 cd/m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2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5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komunikačné rozhrania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1489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ethernet 10/100/Mbps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6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6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tlačiareň cestovných lístkov (pri EMV platbe) – termálna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1661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rýchlosť tlače – min. 150 mm/s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2461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životnosť tlačovej hlavy – min. 100 000 000 bodov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.3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2217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životnosť rezačky – min. 10 000 000 zárezov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7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čítačka BČK – interná (parametre)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74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1058"/>
              </w:tabs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ISO 14443 A, B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516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361" w:right="5000" w:hanging="360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akceptované typy kariet: </w:t>
            </w:r>
          </w:p>
          <w:p>
            <w:pPr>
              <w:pStyle w:val="Standard"/>
              <w:spacing w:after="0" w:line="240" w:lineRule="auto"/>
              <w:ind w:left="361" w:right="500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Mifare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Classic</w:t>
            </w:r>
            <w:proofErr w:type="spellEnd"/>
          </w:p>
          <w:p>
            <w:pPr>
              <w:pStyle w:val="Standard"/>
              <w:spacing w:after="0" w:line="240" w:lineRule="auto"/>
              <w:ind w:left="361" w:right="5000" w:hanging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Mifare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DESFire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EV1</w:t>
            </w:r>
          </w:p>
          <w:p>
            <w:pPr>
              <w:pStyle w:val="Standard"/>
              <w:spacing w:after="0" w:line="240" w:lineRule="auto"/>
              <w:ind w:left="361" w:right="5000" w:hanging="36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Mifare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DESFire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EV2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1.7.3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361" w:right="-3" w:hanging="360"/>
              <w:rPr>
                <w:rFonts w:ascii="Times New Roman" w:eastAsia="Times New Roman" w:hAnsi="Times New Roman" w:cs="Times New Roman"/>
                <w:sz w:val="20"/>
              </w:rPr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ISO 7816 – min. 2 x SAM slot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8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ind w:left="361" w:right="-3"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>čítačka EMV kariet – interná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2221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platba debetnou a kreditnou bankovou kartou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.2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1321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certifikácia – PCI DSS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9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920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audio výstup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0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1376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mechanická konštrukcia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1205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ergonomický dizajn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1287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antivandal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prevedenie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1651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ochrana displeje – tvrdené sklo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4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1009"/>
              </w:tabs>
              <w:spacing w:after="0" w:line="240" w:lineRule="auto"/>
            </w:pPr>
            <w:r>
              <w:tab/>
            </w:r>
            <w:r>
              <w:rPr>
                <w:rFonts w:ascii="Times New Roman" w:eastAsia="Arial CE" w:hAnsi="Times New Roman" w:cs="Times New Roman"/>
                <w:sz w:val="20"/>
                <w:szCs w:val="20"/>
              </w:rPr>
              <w:t>prehlásenie o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EMC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kompatibilitet</w:t>
            </w:r>
            <w:proofErr w:type="spellEnd"/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2.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Požadované funkčné charakteristiky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1968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výdaj cestovných lístkov v tarife MHD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2.2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2985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platba bankovou kartou (v závislosti od konfigurácie zariadenia)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2.3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1384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platba dopravnou kartou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2.4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kontrola platnosti elektronického cestovného lístka na dopravnej karte (dáta z čítačky BČK)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2.5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2118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kontrola zablokovaných dopravných kariet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2.6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2624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akceptácia cestovných lístkov predávaných cez internet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2.7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tabs>
                <w:tab w:val="center" w:pos="34"/>
                <w:tab w:val="center" w:pos="2303"/>
              </w:tabs>
              <w:spacing w:after="0" w:line="240" w:lineRule="auto"/>
            </w:pPr>
            <w:r>
              <w:tab/>
            </w: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evidencia tržby z predaných cestovných lístkov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2.8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nahrávanie vstupných dát (cestovné poriadky, tarify) z palubného počítača cez vozidlový ethernet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2.9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-</w:t>
            </w:r>
            <w:r>
              <w:rPr>
                <w:rFonts w:ascii="Arial CE" w:eastAsia="Arial CE" w:hAnsi="Arial CE" w:cs="Arial CE"/>
                <w:b/>
              </w:rPr>
              <w:t xml:space="preserve"> </w:t>
            </w:r>
            <w:r>
              <w:rPr>
                <w:rFonts w:ascii="Arial CE" w:eastAsia="Arial CE" w:hAnsi="Arial CE" w:cs="Arial CE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</w:rPr>
              <w:t>vyčítavanie záznamov o predaných cestovných lístkov do palubného počítača cez vozidlový ethernet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0"/>
              </w:rPr>
              <w:t>3.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Požadované parametre pre HW zariadenia do vozidla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3.1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napájanie z palubnej siete vozidla 24 V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3.2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pracovné napätie 10 až 32 V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3.3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rozsah pracovných teplôt – 20 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 až  + 60 </w:t>
            </w:r>
            <w:r>
              <w:rPr>
                <w:rFonts w:ascii="Times New Roman" w:eastAsia="Times New Roman" w:hAnsi="Times New Roman" w:cs="Times New Roman"/>
                <w:sz w:val="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</w:rPr>
              <w:t>C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3.4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relatívna vlhkosť vzduchu 20 % až 85% bez kondenzácie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Áno/viď hodnoty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>
        <w:trPr>
          <w:trHeight w:val="251"/>
        </w:trPr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4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>3.5</w:t>
            </w:r>
          </w:p>
        </w:tc>
        <w:tc>
          <w:tcPr>
            <w:tcW w:w="7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</w:tcPr>
          <w:p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stupeň ochrany IP 20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Áno</w:t>
            </w:r>
          </w:p>
        </w:tc>
        <w:tc>
          <w:tcPr>
            <w:tcW w:w="2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5" w:type="dxa"/>
              <w:left w:w="54" w:type="dxa"/>
              <w:bottom w:w="4" w:type="dxa"/>
              <w:right w:w="46" w:type="dxa"/>
            </w:tcMar>
            <w:vAlign w:val="center"/>
          </w:tcPr>
          <w:p>
            <w:pPr>
              <w:pStyle w:val="Standard"/>
              <w:spacing w:after="0" w:line="240" w:lineRule="auto"/>
              <w:ind w:left="2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tbl>
      <w:tblPr>
        <w:tblStyle w:val="Mriekatabuky"/>
        <w:tblW w:w="14175" w:type="dxa"/>
        <w:jc w:val="center"/>
        <w:tblLook w:val="04A0" w:firstRow="1" w:lastRow="0" w:firstColumn="1" w:lastColumn="0" w:noHBand="0" w:noVBand="1"/>
      </w:tblPr>
      <w:tblGrid>
        <w:gridCol w:w="3543"/>
        <w:gridCol w:w="3544"/>
        <w:gridCol w:w="3544"/>
        <w:gridCol w:w="3544"/>
      </w:tblGrid>
      <w:tr>
        <w:trPr>
          <w:jc w:val="center"/>
        </w:trPr>
        <w:tc>
          <w:tcPr>
            <w:tcW w:w="14175" w:type="dxa"/>
            <w:gridSpan w:val="4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Týmto potvrdzujem, že údaje o technických a funkčných charakteristikách ponúkanej položky, ktoré som uviedol, sú pravdivé.</w:t>
            </w:r>
          </w:p>
        </w:tc>
      </w:tr>
      <w:tr>
        <w:trPr>
          <w:jc w:val="center"/>
        </w:trPr>
        <w:tc>
          <w:tcPr>
            <w:tcW w:w="3543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Uchádzač:</w:t>
            </w:r>
          </w:p>
        </w:tc>
        <w:tc>
          <w:tcPr>
            <w:tcW w:w="3544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Subdodávateľ (ak sa uplatňuje):</w:t>
            </w:r>
          </w:p>
        </w:tc>
        <w:tc>
          <w:tcPr>
            <w:tcW w:w="3544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3543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Podpis:</w:t>
            </w:r>
          </w:p>
        </w:tc>
        <w:tc>
          <w:tcPr>
            <w:tcW w:w="3544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Podpis:</w:t>
            </w:r>
          </w:p>
        </w:tc>
        <w:tc>
          <w:tcPr>
            <w:tcW w:w="3544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3543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 .............., dňa ............</w:t>
            </w:r>
          </w:p>
        </w:tc>
        <w:tc>
          <w:tcPr>
            <w:tcW w:w="3544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Podpis:</w:t>
            </w:r>
          </w:p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uchádzač,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osobou/osobami oprávnenými konať v mene uchádzača, v súlade s dokladom o oprávnení podnikať,</w:t>
            </w:r>
          </w:p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alebo</w:t>
            </w:r>
          </w:p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zástupca uchádzača, oprávnený konať v mene uchádzača; v tom prípade bude súčasťou ponuky adekvátne písomné plnomocenstvo pre zástupcu uchádzača podpísané uchádzačom podľa písm. a)</w:t>
            </w:r>
          </w:p>
        </w:tc>
        <w:tc>
          <w:tcPr>
            <w:tcW w:w="3544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 .............., dňa ............</w:t>
            </w:r>
          </w:p>
        </w:tc>
        <w:tc>
          <w:tcPr>
            <w:tcW w:w="3544" w:type="dxa"/>
          </w:tcPr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Podpis:</w:t>
            </w:r>
          </w:p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subdodávateľ,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t.j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osobou/osobami oprávnenými konať v mene subdodávateľa, v súlade s dokladom o oprávnení podnikať,</w:t>
            </w:r>
          </w:p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alebo</w:t>
            </w:r>
          </w:p>
          <w:p>
            <w:pPr>
              <w:pStyle w:val="Vchodzt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zástupca subdodávateľa, oprávnený konať v mene subdodávateľa; v tom prípade bude súčasťou ponuky adekvátne písomné plnomocenstvo pre zástupcu subdodávateľa podpísané subdodávateľom podľa písm. a)</w:t>
            </w:r>
          </w:p>
        </w:tc>
      </w:tr>
    </w:tbl>
    <w:p>
      <w:pPr>
        <w:pStyle w:val="Standard"/>
        <w:spacing w:after="0"/>
        <w:ind w:right="8178"/>
      </w:pPr>
    </w:p>
    <w:sectPr>
      <w:headerReference w:type="default" r:id="rId7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908" w:rsidRDefault="00EF7908">
      <w:pPr>
        <w:spacing w:after="0" w:line="240" w:lineRule="auto"/>
      </w:pPr>
      <w:r>
        <w:separator/>
      </w:r>
    </w:p>
  </w:endnote>
  <w:endnote w:type="continuationSeparator" w:id="0">
    <w:p w:rsidR="00EF7908" w:rsidRDefault="00EF7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908" w:rsidRDefault="00EF790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F7908" w:rsidRDefault="00EF7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98" w:type="dxa"/>
      </w:tblCellMar>
      <w:tblLook w:val="04A0" w:firstRow="1" w:lastRow="0" w:firstColumn="1" w:lastColumn="0" w:noHBand="0" w:noVBand="1"/>
    </w:tblPr>
    <w:tblGrid>
      <w:gridCol w:w="3473"/>
      <w:gridCol w:w="10521"/>
    </w:tblGrid>
    <w:tr w:rsidR="00CD17C5" w:rsidTr="00917538">
      <w:trPr>
        <w:jc w:val="center"/>
      </w:trPr>
      <w:tc>
        <w:tcPr>
          <w:tcW w:w="357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  <w:vAlign w:val="center"/>
        </w:tcPr>
        <w:p w:rsidR="00CD17C5" w:rsidRPr="00F47C30" w:rsidRDefault="00CD17C5" w:rsidP="00CD17C5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F47C30">
            <w:rPr>
              <w:rFonts w:ascii="Times New Roman" w:hAnsi="Times New Roman" w:cs="Times New Roman"/>
              <w:sz w:val="20"/>
              <w:szCs w:val="20"/>
            </w:rPr>
            <w:t xml:space="preserve">Príloha č. 3 súťažných podkladov </w:t>
          </w:r>
        </w:p>
        <w:p w:rsidR="00CD17C5" w:rsidRPr="00623E25" w:rsidRDefault="00CD17C5" w:rsidP="00CD17C5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F47C30">
            <w:rPr>
              <w:rFonts w:ascii="Times New Roman" w:hAnsi="Times New Roman" w:cs="Times New Roman"/>
              <w:sz w:val="20"/>
              <w:szCs w:val="20"/>
            </w:rPr>
            <w:t>Príloha č. 2 zmluvy</w:t>
          </w:r>
        </w:p>
      </w:tc>
      <w:tc>
        <w:tcPr>
          <w:tcW w:w="1116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  <w:vAlign w:val="center"/>
        </w:tcPr>
        <w:p w:rsidR="00CD17C5" w:rsidRDefault="00CD17C5" w:rsidP="00CD17C5">
          <w:pPr>
            <w:pStyle w:val="Vchodztl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Opis predmetu zákazky/zmluvy</w:t>
          </w:r>
        </w:p>
      </w:tc>
    </w:tr>
    <w:tr w:rsidR="00CD17C5" w:rsidTr="00917538">
      <w:trPr>
        <w:jc w:val="center"/>
      </w:trPr>
      <w:tc>
        <w:tcPr>
          <w:tcW w:w="357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CD17C5" w:rsidRDefault="00CD17C5" w:rsidP="00CD17C5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Verejný obstarávateľ/Kupujúci:</w:t>
          </w:r>
        </w:p>
      </w:tc>
      <w:tc>
        <w:tcPr>
          <w:tcW w:w="1116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CD17C5" w:rsidRDefault="00CD17C5" w:rsidP="00CD17C5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 w:rsidRPr="00351362">
            <w:rPr>
              <w:rFonts w:ascii="Times New Roman" w:hAnsi="Times New Roman" w:cs="Times New Roman"/>
              <w:sz w:val="20"/>
              <w:szCs w:val="20"/>
            </w:rPr>
            <w:t>Dopravný podnik mesta Košice, akciová spoločnosť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, </w:t>
          </w:r>
          <w:r w:rsidRPr="00351362">
            <w:rPr>
              <w:rFonts w:ascii="Times New Roman" w:hAnsi="Times New Roman" w:cs="Times New Roman"/>
              <w:sz w:val="20"/>
              <w:szCs w:val="20"/>
            </w:rPr>
            <w:t>Bardejovská 6, 043 29 Košice</w:t>
          </w:r>
        </w:p>
      </w:tc>
    </w:tr>
    <w:tr w:rsidR="00CD17C5" w:rsidTr="00917538">
      <w:trPr>
        <w:jc w:val="center"/>
      </w:trPr>
      <w:tc>
        <w:tcPr>
          <w:tcW w:w="357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CD17C5" w:rsidRDefault="00CD17C5" w:rsidP="00CD17C5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Predmet zákazky:</w:t>
          </w:r>
        </w:p>
      </w:tc>
      <w:tc>
        <w:tcPr>
          <w:tcW w:w="1116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CD17C5" w:rsidRPr="00162C7C" w:rsidRDefault="00CD17C5" w:rsidP="00CD17C5">
          <w:pPr>
            <w:pStyle w:val="Vchodztl"/>
            <w:rPr>
              <w:rFonts w:ascii="Times New Roman" w:hAnsi="Times New Roman" w:cs="Times New Roman"/>
              <w:sz w:val="20"/>
              <w:szCs w:val="20"/>
              <w:highlight w:val="yellow"/>
            </w:rPr>
          </w:pPr>
          <w:r w:rsidRPr="00F47C30">
            <w:rPr>
              <w:rFonts w:ascii="Times New Roman" w:hAnsi="Times New Roman" w:cs="Times New Roman"/>
              <w:sz w:val="20"/>
              <w:szCs w:val="20"/>
            </w:rPr>
            <w:t>Modernizácia odbavovacieho systému v autobusoch MHD v DPMK, a.s.</w:t>
          </w:r>
        </w:p>
      </w:tc>
    </w:tr>
    <w:tr w:rsidR="00CD17C5" w:rsidTr="00917538">
      <w:trPr>
        <w:jc w:val="center"/>
      </w:trPr>
      <w:tc>
        <w:tcPr>
          <w:tcW w:w="357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CD17C5" w:rsidRDefault="00CD17C5" w:rsidP="00CD17C5">
          <w:pPr>
            <w:pStyle w:val="Vchodztl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Postup verejného obstarávania:</w:t>
          </w:r>
        </w:p>
      </w:tc>
      <w:tc>
        <w:tcPr>
          <w:tcW w:w="1116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tcMar>
            <w:left w:w="98" w:type="dxa"/>
          </w:tcMar>
        </w:tcPr>
        <w:p w:rsidR="00CD17C5" w:rsidRPr="00162C7C" w:rsidRDefault="00CD17C5" w:rsidP="00CD17C5">
          <w:pPr>
            <w:pStyle w:val="Vchodztl"/>
            <w:rPr>
              <w:rFonts w:ascii="Times New Roman" w:hAnsi="Times New Roman" w:cs="Times New Roman"/>
              <w:sz w:val="20"/>
              <w:szCs w:val="20"/>
              <w:highlight w:val="yellow"/>
            </w:rPr>
          </w:pPr>
          <w:r w:rsidRPr="002D1E9E">
            <w:rPr>
              <w:rFonts w:ascii="Times New Roman" w:hAnsi="Times New Roman" w:cs="Times New Roman"/>
              <w:sz w:val="20"/>
              <w:szCs w:val="20"/>
            </w:rPr>
            <w:t>Verejná súťaž, s uplatnením § 66 ods. 7 ZVO, s použitím elektronickej aukcie</w:t>
          </w:r>
        </w:p>
      </w:tc>
    </w:tr>
  </w:tbl>
  <w:p w:rsidR="00EF7908" w:rsidRDefault="00EF790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53C1A"/>
    <w:multiLevelType w:val="multilevel"/>
    <w:tmpl w:val="E04C5D72"/>
    <w:styleLink w:val="WWNum2"/>
    <w:lvl w:ilvl="0">
      <w:numFmt w:val="bullet"/>
      <w:lvlText w:val="-"/>
      <w:lvlJc w:val="left"/>
      <w:pPr>
        <w:ind w:left="721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o"/>
      <w:lvlJc w:val="left"/>
      <w:pPr>
        <w:ind w:left="137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pPr>
        <w:ind w:left="209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pPr>
        <w:ind w:left="281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pPr>
        <w:ind w:left="353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pPr>
        <w:ind w:left="425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pPr>
        <w:ind w:left="497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pPr>
        <w:ind w:left="569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pPr>
        <w:ind w:left="641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1BE7206E"/>
    <w:multiLevelType w:val="multilevel"/>
    <w:tmpl w:val="C96CB6FA"/>
    <w:styleLink w:val="WWNum3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o"/>
      <w:lvlJc w:val="left"/>
      <w:pPr>
        <w:ind w:left="149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pPr>
        <w:ind w:left="221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pPr>
        <w:ind w:left="293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pPr>
        <w:ind w:left="365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pPr>
        <w:ind w:left="437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pPr>
        <w:ind w:left="509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pPr>
        <w:ind w:left="581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pPr>
        <w:ind w:left="6535" w:hanging="360"/>
      </w:pPr>
      <w:rPr>
        <w:rFonts w:ascii="Calibri" w:eastAsia="Calibri" w:hAnsi="Calibri" w:cs="Calibri"/>
        <w:b/>
        <w:bCs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abstractNum w:abstractNumId="2" w15:restartNumberingAfterBreak="0">
    <w:nsid w:val="3A156BDE"/>
    <w:multiLevelType w:val="multilevel"/>
    <w:tmpl w:val="D0224F1A"/>
    <w:styleLink w:val="WWNum1"/>
    <w:lvl w:ilvl="0">
      <w:start w:val="1"/>
      <w:numFmt w:val="decimal"/>
      <w:lvlText w:val="%1."/>
      <w:lvlJc w:val="left"/>
      <w:pPr>
        <w:ind w:left="408" w:hanging="360"/>
      </w:pPr>
      <w:rPr>
        <w:rFonts w:eastAsia="Times New Roman" w:cs="Times New Roman"/>
        <w:b w:val="0"/>
        <w:i w:val="0"/>
        <w:dstrike/>
        <w:color w:val="2E74B5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dstrike/>
        <w:color w:val="2E74B5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800" w:hanging="360"/>
      </w:pPr>
      <w:rPr>
        <w:rFonts w:eastAsia="Times New Roman" w:cs="Times New Roman"/>
        <w:b w:val="0"/>
        <w:i w:val="0"/>
        <w:dstrike/>
        <w:color w:val="2E74B5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eastAsia="Times New Roman" w:cs="Times New Roman"/>
        <w:b w:val="0"/>
        <w:i w:val="0"/>
        <w:dstrike/>
        <w:color w:val="2E74B5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eastAsia="Times New Roman" w:cs="Times New Roman"/>
        <w:b w:val="0"/>
        <w:i w:val="0"/>
        <w:dstrike/>
        <w:color w:val="2E74B5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960" w:hanging="360"/>
      </w:pPr>
      <w:rPr>
        <w:rFonts w:eastAsia="Times New Roman" w:cs="Times New Roman"/>
        <w:b w:val="0"/>
        <w:i w:val="0"/>
        <w:dstrike/>
        <w:color w:val="2E74B5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eastAsia="Times New Roman" w:cs="Times New Roman"/>
        <w:b w:val="0"/>
        <w:i w:val="0"/>
        <w:dstrike/>
        <w:color w:val="2E74B5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eastAsia="Times New Roman" w:cs="Times New Roman"/>
        <w:b w:val="0"/>
        <w:i w:val="0"/>
        <w:dstrike/>
        <w:color w:val="2E74B5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120" w:hanging="360"/>
      </w:pPr>
      <w:rPr>
        <w:rFonts w:eastAsia="Times New Roman" w:cs="Times New Roman"/>
        <w:b w:val="0"/>
        <w:i w:val="0"/>
        <w:dstrike/>
        <w:color w:val="2E74B5"/>
        <w:position w:val="0"/>
        <w:sz w:val="26"/>
        <w:szCs w:val="26"/>
        <w:u w:val="none"/>
        <w:vertAlign w:val="baseline"/>
      </w:r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ind w:left="408" w:hanging="360"/>
        </w:pPr>
        <w:rPr>
          <w:rFonts w:eastAsia="Times New Roman" w:cs="Times New Roman"/>
          <w:b w:val="0"/>
          <w:i w:val="0"/>
          <w:dstrike w:val="0"/>
          <w:color w:val="2E74B5"/>
          <w:position w:val="0"/>
          <w:sz w:val="26"/>
          <w:szCs w:val="26"/>
          <w:u w:val="none"/>
          <w:vertAlign w:val="baseline"/>
        </w:rPr>
      </w:lvl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0">
      <w:lvl w:ilvl="0">
        <w:start w:val="1"/>
        <w:numFmt w:val="decimal"/>
        <w:lvlText w:val="%1."/>
        <w:lvlJc w:val="left"/>
        <w:pPr>
          <w:ind w:left="408" w:hanging="360"/>
        </w:pPr>
        <w:rPr>
          <w:rFonts w:eastAsia="Times New Roman" w:cs="Times New Roman"/>
          <w:b w:val="0"/>
          <w:i w:val="0"/>
          <w:dstrike w:val="0"/>
          <w:color w:val="2E74B5"/>
          <w:position w:val="0"/>
          <w:sz w:val="26"/>
          <w:szCs w:val="26"/>
          <w:u w:val="none"/>
          <w:vertAlign w:val="baseline"/>
        </w:rPr>
      </w:lvl>
    </w:lvlOverride>
    <w:lvlOverride w:ilvl="0">
      <w:lvl w:ilvl="0">
        <w:start w:val="1"/>
        <w:numFmt w:val="decimal"/>
        <w:lvlText w:val="%1."/>
        <w:lvlJc w:val="left"/>
        <w:pPr>
          <w:ind w:left="408" w:hanging="360"/>
        </w:pPr>
        <w:rPr>
          <w:rFonts w:eastAsia="Times New Roman" w:cs="Times New Roman"/>
          <w:b w:val="0"/>
          <w:i w:val="0"/>
          <w:dstrike w:val="0"/>
          <w:color w:val="2E74B5"/>
          <w:position w:val="0"/>
          <w:sz w:val="26"/>
          <w:szCs w:val="26"/>
          <w:u w:val="none"/>
          <w:vertAlign w:val="baseline"/>
        </w:rPr>
      </w:lvl>
    </w:lvlOverride>
    <w:lvlOverride w:ilvl="0">
      <w:lvl w:ilvl="0">
        <w:start w:val="1"/>
        <w:numFmt w:val="decimal"/>
        <w:lvlText w:val="%1."/>
        <w:lvlJc w:val="left"/>
        <w:pPr>
          <w:ind w:left="408" w:hanging="360"/>
        </w:pPr>
        <w:rPr>
          <w:rFonts w:eastAsia="Times New Roman" w:cs="Times New Roman"/>
          <w:b w:val="0"/>
          <w:i w:val="0"/>
          <w:dstrike w:val="0"/>
          <w:color w:val="2E74B5"/>
          <w:position w:val="0"/>
          <w:sz w:val="26"/>
          <w:szCs w:val="26"/>
          <w:u w:val="none"/>
          <w:vertAlign w:val="baseline"/>
        </w:rPr>
      </w:lvl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89A"/>
    <w:rsid w:val="000A6BBD"/>
    <w:rsid w:val="00124B39"/>
    <w:rsid w:val="00142CEE"/>
    <w:rsid w:val="001A2503"/>
    <w:rsid w:val="00240DF4"/>
    <w:rsid w:val="00400EDD"/>
    <w:rsid w:val="004232C6"/>
    <w:rsid w:val="00443C71"/>
    <w:rsid w:val="00497B35"/>
    <w:rsid w:val="005000DB"/>
    <w:rsid w:val="00504718"/>
    <w:rsid w:val="00552B98"/>
    <w:rsid w:val="00564848"/>
    <w:rsid w:val="00570D4D"/>
    <w:rsid w:val="00645240"/>
    <w:rsid w:val="006B689A"/>
    <w:rsid w:val="00711336"/>
    <w:rsid w:val="00755699"/>
    <w:rsid w:val="007B167C"/>
    <w:rsid w:val="00966BA2"/>
    <w:rsid w:val="009A2F17"/>
    <w:rsid w:val="009B6A52"/>
    <w:rsid w:val="009B749D"/>
    <w:rsid w:val="00BC5355"/>
    <w:rsid w:val="00C20909"/>
    <w:rsid w:val="00C518E6"/>
    <w:rsid w:val="00CD17C5"/>
    <w:rsid w:val="00CE4AC4"/>
    <w:rsid w:val="00E60657"/>
    <w:rsid w:val="00E67220"/>
    <w:rsid w:val="00EF7908"/>
    <w:rsid w:val="00F71844"/>
    <w:rsid w:val="00FC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C3DE"/>
  <w15:docId w15:val="{4A46B28C-554F-4954-B92A-4467EC18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kern w:val="3"/>
        <w:sz w:val="22"/>
        <w:szCs w:val="22"/>
        <w:lang w:val="sk-SK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Calibri"/>
      <w:color w:val="000000"/>
      <w:lang w:eastAsia="sk-SK"/>
    </w:rPr>
  </w:style>
  <w:style w:type="paragraph" w:styleId="Nzov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dtitul">
    <w:name w:val="Subtitle"/>
    <w:basedOn w:val="Nzov"/>
    <w:next w:val="Textbody"/>
    <w:pPr>
      <w:jc w:val="center"/>
    </w:pPr>
    <w:rPr>
      <w:i/>
      <w:iCs/>
    </w:rPr>
  </w:style>
  <w:style w:type="paragraph" w:styleId="Zoznam">
    <w:name w:val="List"/>
    <w:basedOn w:val="Textbody"/>
    <w:rPr>
      <w:rFonts w:cs="Mangal"/>
    </w:rPr>
  </w:style>
  <w:style w:type="paragraph" w:styleId="Popis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Hlavika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Pt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HlavikaChar">
    <w:name w:val="Hlavička Char"/>
    <w:basedOn w:val="Predvolenpsmoodseku"/>
    <w:rPr>
      <w:rFonts w:ascii="Calibri" w:eastAsia="Calibri" w:hAnsi="Calibri" w:cs="Calibri"/>
      <w:color w:val="000000"/>
      <w:lang w:eastAsia="sk-SK"/>
    </w:rPr>
  </w:style>
  <w:style w:type="character" w:customStyle="1" w:styleId="PtaChar">
    <w:name w:val="Päta Char"/>
    <w:basedOn w:val="Predvolenpsmoodseku"/>
    <w:rPr>
      <w:rFonts w:ascii="Calibri" w:eastAsia="Calibri" w:hAnsi="Calibri" w:cs="Calibri"/>
      <w:color w:val="000000"/>
      <w:lang w:eastAsia="sk-SK"/>
    </w:rPr>
  </w:style>
  <w:style w:type="character" w:customStyle="1" w:styleId="TextbublinyChar">
    <w:name w:val="Text bubliny Char"/>
    <w:basedOn w:val="Predvolenpsmoodseku"/>
    <w:rPr>
      <w:rFonts w:ascii="Segoe UI" w:eastAsia="Calibri" w:hAnsi="Segoe UI" w:cs="Segoe UI"/>
      <w:color w:val="000000"/>
      <w:sz w:val="18"/>
      <w:szCs w:val="18"/>
      <w:lang w:eastAsia="sk-SK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2E74B5"/>
      <w:position w:val="0"/>
      <w:sz w:val="26"/>
      <w:szCs w:val="26"/>
      <w:u w:val="none"/>
      <w:vertAlign w:val="baseline"/>
    </w:rPr>
  </w:style>
  <w:style w:type="character" w:customStyle="1" w:styleId="ListLabel2">
    <w:name w:val="ListLabel 2"/>
    <w:rPr>
      <w:rFonts w:eastAsia="Calibri" w:cs="Calibri"/>
      <w:b/>
      <w:bCs/>
      <w:i w:val="0"/>
      <w:dstrike/>
      <w:color w:val="000000"/>
      <w:position w:val="0"/>
      <w:sz w:val="22"/>
      <w:szCs w:val="22"/>
      <w:u w:val="none"/>
      <w:vertAlign w:val="baseline"/>
    </w:rPr>
  </w:style>
  <w:style w:type="numbering" w:customStyle="1" w:styleId="WWNum1">
    <w:name w:val="WWNum1"/>
    <w:basedOn w:val="Bezzoznamu"/>
    <w:pPr>
      <w:numPr>
        <w:numId w:val="1"/>
      </w:numPr>
    </w:pPr>
  </w:style>
  <w:style w:type="numbering" w:customStyle="1" w:styleId="WWNum2">
    <w:name w:val="WWNum2"/>
    <w:basedOn w:val="Bezzoznamu"/>
    <w:pPr>
      <w:numPr>
        <w:numId w:val="2"/>
      </w:numPr>
    </w:pPr>
  </w:style>
  <w:style w:type="numbering" w:customStyle="1" w:styleId="WWNum3">
    <w:name w:val="WWNum3"/>
    <w:basedOn w:val="Bezzoznamu"/>
    <w:pPr>
      <w:numPr>
        <w:numId w:val="3"/>
      </w:numPr>
    </w:pPr>
  </w:style>
  <w:style w:type="paragraph" w:customStyle="1" w:styleId="Vchodztl">
    <w:name w:val="Východzí štýl"/>
    <w:rsid w:val="009B6A52"/>
    <w:pPr>
      <w:widowControl/>
      <w:autoSpaceDN/>
      <w:spacing w:after="0" w:line="240" w:lineRule="auto"/>
      <w:textAlignment w:val="auto"/>
    </w:pPr>
    <w:rPr>
      <w:color w:val="00000A"/>
      <w:kern w:val="0"/>
    </w:rPr>
  </w:style>
  <w:style w:type="table" w:styleId="Mriekatabuky">
    <w:name w:val="Table Grid"/>
    <w:basedOn w:val="Normlnatabuka"/>
    <w:uiPriority w:val="39"/>
    <w:rsid w:val="009B6A52"/>
    <w:pPr>
      <w:widowControl/>
      <w:suppressAutoHyphens w:val="0"/>
      <w:autoSpaceDN/>
      <w:spacing w:after="0" w:line="240" w:lineRule="auto"/>
      <w:textAlignment w:val="auto"/>
    </w:pPr>
    <w:rPr>
      <w:rFonts w:ascii="Liberation Serif" w:hAnsi="Liberation Serif" w:cs="Mangal"/>
      <w:kern w:val="0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922</Words>
  <Characters>5262</Characters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LinksUpToDate>false</LinksUpToDate>
  <CharactersWithSpaces>6172</CharactersWithSpaces>
  <SharedDoc>false</SharedDoc>
  <HyperlinksChanged>false</HyperlinksChanged>
</Properties>
</file>