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464F560B" w:rsidR="005D7EAE" w:rsidRPr="005C41D1" w:rsidRDefault="00FA793F" w:rsidP="005C41D1">
      <w:pPr>
        <w:widowControl/>
        <w:adjustRightInd w:val="0"/>
        <w:jc w:val="center"/>
        <w:rPr>
          <w:rFonts w:asciiTheme="minorHAnsi" w:eastAsiaTheme="minorHAnsi" w:hAnsiTheme="minorHAnsi" w:cstheme="minorHAnsi"/>
          <w:b/>
          <w:sz w:val="36"/>
          <w:szCs w:val="36"/>
          <w:lang w:val="sk-SK" w:eastAsia="en-US"/>
        </w:rPr>
      </w:pPr>
      <w:r w:rsidRPr="005C41D1">
        <w:rPr>
          <w:rFonts w:asciiTheme="minorHAnsi" w:hAnsiTheme="minorHAnsi" w:cstheme="minorHAnsi"/>
          <w:b/>
          <w:sz w:val="36"/>
          <w:szCs w:val="36"/>
        </w:rPr>
        <w:t>„</w:t>
      </w:r>
      <w:r w:rsidR="005C41D1" w:rsidRPr="005C41D1">
        <w:rPr>
          <w:rFonts w:asciiTheme="minorHAnsi" w:eastAsiaTheme="minorHAnsi" w:hAnsiTheme="minorHAnsi" w:cstheme="minorHAnsi"/>
          <w:b/>
          <w:sz w:val="36"/>
          <w:szCs w:val="36"/>
          <w:lang w:val="sk-SK" w:eastAsia="en-US"/>
        </w:rPr>
        <w:t>Vranov n. T. – Dobudovanie a rekonštrukcia technickej infraštruktúry na Ul. Cintorínskej</w:t>
      </w:r>
      <w:r w:rsidRPr="005C41D1">
        <w:rPr>
          <w:rFonts w:asciiTheme="minorHAnsi" w:hAnsiTheme="minorHAnsi" w:cstheme="minorHAnsi"/>
          <w:b/>
          <w:sz w:val="36"/>
          <w:szCs w:val="36"/>
        </w:rPr>
        <w:t>“</w:t>
      </w:r>
    </w:p>
    <w:p w14:paraId="1F74DAA6" w14:textId="066D6E22" w:rsidR="005D7EAE" w:rsidRDefault="005D7EAE">
      <w:pPr>
        <w:pStyle w:val="Zkladntext"/>
        <w:rPr>
          <w:rFonts w:asciiTheme="minorHAnsi" w:hAnsiTheme="minorHAnsi" w:cstheme="minorHAnsi"/>
          <w:b/>
          <w:sz w:val="28"/>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555786" w:rsidRDefault="00C137C4" w:rsidP="00C137C4">
            <w:pPr>
              <w:spacing w:line="264" w:lineRule="exact"/>
              <w:ind w:left="191" w:right="45"/>
              <w:rPr>
                <w:rFonts w:asciiTheme="minorHAnsi" w:hAnsiTheme="minorHAnsi" w:cstheme="minorHAnsi"/>
              </w:rPr>
            </w:pPr>
            <w:r w:rsidRPr="00555786">
              <w:rPr>
                <w:rFonts w:asciiTheme="minorHAnsi" w:hAnsiTheme="minorHAnsi" w:cstheme="minorHAnsi"/>
              </w:rPr>
              <w:t>Názov:</w:t>
            </w:r>
          </w:p>
        </w:tc>
        <w:tc>
          <w:tcPr>
            <w:tcW w:w="6223" w:type="dxa"/>
          </w:tcPr>
          <w:p w14:paraId="0E7E29BC" w14:textId="67D2FC05" w:rsidR="00C137C4" w:rsidRPr="00555786" w:rsidRDefault="00C137C4" w:rsidP="00C137C4">
            <w:pPr>
              <w:spacing w:line="264" w:lineRule="exact"/>
              <w:ind w:right="45"/>
              <w:rPr>
                <w:rFonts w:asciiTheme="minorHAnsi" w:hAnsiTheme="minorHAnsi" w:cstheme="minorHAnsi"/>
                <w:b/>
              </w:rPr>
            </w:pPr>
            <w:r w:rsidRPr="00555786">
              <w:rPr>
                <w:rFonts w:asciiTheme="minorHAnsi" w:eastAsiaTheme="minorHAnsi" w:hAnsiTheme="minorHAnsi" w:cstheme="minorHAnsi"/>
                <w:b/>
                <w:bCs/>
                <w:lang w:val="sk-SK" w:eastAsia="en-US"/>
              </w:rPr>
              <w:t xml:space="preserve">Mesto </w:t>
            </w:r>
            <w:r w:rsidR="00796CD4" w:rsidRPr="00555786">
              <w:rPr>
                <w:rFonts w:asciiTheme="minorHAnsi" w:eastAsiaTheme="minorHAnsi" w:hAnsiTheme="minorHAnsi" w:cstheme="minorHAnsi"/>
                <w:b/>
                <w:bCs/>
                <w:lang w:val="sk-SK" w:eastAsia="en-US"/>
              </w:rPr>
              <w:t>Vranov nad Topľou</w:t>
            </w:r>
          </w:p>
        </w:tc>
      </w:tr>
      <w:tr w:rsidR="00C137C4" w:rsidRPr="00141B3D" w14:paraId="40694B94" w14:textId="77777777" w:rsidTr="00632BB4">
        <w:trPr>
          <w:trHeight w:val="294"/>
        </w:trPr>
        <w:tc>
          <w:tcPr>
            <w:tcW w:w="3071" w:type="dxa"/>
          </w:tcPr>
          <w:p w14:paraId="26E3AC6E" w14:textId="0731BB62" w:rsidR="00C137C4" w:rsidRPr="00555786" w:rsidRDefault="00C137C4" w:rsidP="00C137C4">
            <w:pPr>
              <w:spacing w:line="264" w:lineRule="exact"/>
              <w:ind w:left="191" w:right="45"/>
              <w:rPr>
                <w:rFonts w:asciiTheme="minorHAnsi" w:hAnsiTheme="minorHAnsi" w:cstheme="minorHAnsi"/>
              </w:rPr>
            </w:pPr>
            <w:r w:rsidRPr="00555786">
              <w:rPr>
                <w:rFonts w:asciiTheme="minorHAnsi" w:hAnsiTheme="minorHAnsi" w:cstheme="minorHAnsi"/>
              </w:rPr>
              <w:t>Sídlo:</w:t>
            </w:r>
          </w:p>
        </w:tc>
        <w:tc>
          <w:tcPr>
            <w:tcW w:w="6223" w:type="dxa"/>
          </w:tcPr>
          <w:p w14:paraId="075AC5F7" w14:textId="040818E8" w:rsidR="00C137C4" w:rsidRPr="00555786" w:rsidRDefault="00796CD4" w:rsidP="00C137C4">
            <w:pPr>
              <w:spacing w:line="264" w:lineRule="exact"/>
              <w:ind w:right="45"/>
              <w:rPr>
                <w:rFonts w:asciiTheme="minorHAnsi" w:hAnsiTheme="minorHAnsi" w:cstheme="minorHAnsi"/>
              </w:rPr>
            </w:pPr>
            <w:r w:rsidRPr="00555786">
              <w:rPr>
                <w:rFonts w:asciiTheme="minorHAnsi" w:eastAsiaTheme="minorHAnsi" w:hAnsiTheme="minorHAnsi" w:cstheme="minorHAnsi"/>
                <w:lang w:val="sk-SK" w:eastAsia="en-US"/>
              </w:rPr>
              <w:t xml:space="preserve">Dr. C. </w:t>
            </w:r>
            <w:proofErr w:type="spellStart"/>
            <w:r w:rsidRPr="00555786">
              <w:rPr>
                <w:rFonts w:asciiTheme="minorHAnsi" w:eastAsiaTheme="minorHAnsi" w:hAnsiTheme="minorHAnsi" w:cstheme="minorHAnsi"/>
                <w:lang w:val="sk-SK" w:eastAsia="en-US"/>
              </w:rPr>
              <w:t>Daxnera</w:t>
            </w:r>
            <w:proofErr w:type="spellEnd"/>
            <w:r w:rsidRPr="00555786">
              <w:rPr>
                <w:rFonts w:asciiTheme="minorHAnsi" w:eastAsiaTheme="minorHAnsi" w:hAnsiTheme="minorHAnsi" w:cstheme="minorHAnsi"/>
                <w:lang w:val="sk-SK" w:eastAsia="en-US"/>
              </w:rPr>
              <w:t xml:space="preserve"> 87/1, 093 16 Vranov nad Topľou</w:t>
            </w:r>
          </w:p>
        </w:tc>
      </w:tr>
      <w:tr w:rsidR="00C137C4" w:rsidRPr="00141B3D" w14:paraId="1CDC723C" w14:textId="77777777" w:rsidTr="00632BB4">
        <w:trPr>
          <w:trHeight w:val="607"/>
        </w:trPr>
        <w:tc>
          <w:tcPr>
            <w:tcW w:w="3071" w:type="dxa"/>
          </w:tcPr>
          <w:p w14:paraId="55BB70A5" w14:textId="20511DB7" w:rsidR="00C137C4" w:rsidRPr="00555786" w:rsidRDefault="00C137C4" w:rsidP="00C137C4">
            <w:pPr>
              <w:spacing w:before="30"/>
              <w:ind w:left="191"/>
              <w:rPr>
                <w:rFonts w:asciiTheme="minorHAnsi" w:hAnsiTheme="minorHAnsi" w:cstheme="minorHAnsi"/>
                <w:spacing w:val="-1"/>
              </w:rPr>
            </w:pPr>
            <w:r w:rsidRPr="00555786">
              <w:rPr>
                <w:rFonts w:asciiTheme="minorHAnsi" w:hAnsiTheme="minorHAnsi" w:cstheme="minorHAnsi"/>
              </w:rPr>
              <w:t>IČO:</w:t>
            </w:r>
          </w:p>
        </w:tc>
        <w:tc>
          <w:tcPr>
            <w:tcW w:w="6223" w:type="dxa"/>
          </w:tcPr>
          <w:p w14:paraId="5AAF9463" w14:textId="755196A7" w:rsidR="00C137C4" w:rsidRPr="00555786" w:rsidRDefault="00796CD4" w:rsidP="00C137C4">
            <w:pPr>
              <w:spacing w:line="264" w:lineRule="exact"/>
              <w:ind w:right="45"/>
              <w:rPr>
                <w:rFonts w:asciiTheme="minorHAnsi" w:hAnsiTheme="minorHAnsi" w:cstheme="minorHAnsi"/>
              </w:rPr>
            </w:pPr>
            <w:r w:rsidRPr="00555786">
              <w:rPr>
                <w:rFonts w:asciiTheme="minorHAnsi" w:eastAsiaTheme="minorHAnsi" w:hAnsiTheme="minorHAnsi" w:cstheme="minorHAnsi"/>
                <w:lang w:val="sk-SK" w:eastAsia="en-US"/>
              </w:rPr>
              <w:t>00332933</w:t>
            </w:r>
          </w:p>
        </w:tc>
      </w:tr>
      <w:tr w:rsidR="00C137C4" w:rsidRPr="00141B3D" w14:paraId="08751122" w14:textId="77777777" w:rsidTr="00632BB4">
        <w:trPr>
          <w:trHeight w:val="294"/>
        </w:trPr>
        <w:tc>
          <w:tcPr>
            <w:tcW w:w="3071" w:type="dxa"/>
          </w:tcPr>
          <w:p w14:paraId="50171A39" w14:textId="11FB1D0D" w:rsidR="00C137C4" w:rsidRPr="00555786" w:rsidRDefault="00C137C4" w:rsidP="00C137C4">
            <w:pPr>
              <w:spacing w:line="264" w:lineRule="exact"/>
              <w:ind w:left="191" w:right="45"/>
              <w:rPr>
                <w:rFonts w:asciiTheme="minorHAnsi" w:hAnsiTheme="minorHAnsi" w:cstheme="minorHAnsi"/>
              </w:rPr>
            </w:pPr>
            <w:r w:rsidRPr="00555786">
              <w:rPr>
                <w:rFonts w:asciiTheme="minorHAnsi" w:hAnsiTheme="minorHAnsi" w:cstheme="minorHAnsi"/>
              </w:rPr>
              <w:t>Zastúpený:</w:t>
            </w:r>
          </w:p>
        </w:tc>
        <w:tc>
          <w:tcPr>
            <w:tcW w:w="6223" w:type="dxa"/>
          </w:tcPr>
          <w:p w14:paraId="767BDA5D" w14:textId="3F10B94C" w:rsidR="00C137C4" w:rsidRPr="00555786" w:rsidRDefault="00796CD4" w:rsidP="00C137C4">
            <w:pPr>
              <w:spacing w:line="264" w:lineRule="exact"/>
              <w:ind w:right="45"/>
              <w:rPr>
                <w:rFonts w:asciiTheme="minorHAnsi" w:hAnsiTheme="minorHAnsi" w:cstheme="minorHAnsi"/>
                <w:spacing w:val="-1"/>
              </w:rPr>
            </w:pPr>
            <w:r w:rsidRPr="00555786">
              <w:rPr>
                <w:rFonts w:asciiTheme="minorHAnsi" w:hAnsiTheme="minorHAnsi" w:cstheme="minorHAnsi"/>
              </w:rPr>
              <w:t xml:space="preserve">Ing. Ján </w:t>
            </w:r>
            <w:proofErr w:type="spellStart"/>
            <w:r w:rsidRPr="00555786">
              <w:rPr>
                <w:rFonts w:asciiTheme="minorHAnsi" w:hAnsiTheme="minorHAnsi" w:cstheme="minorHAnsi"/>
              </w:rPr>
              <w:t>Ragan</w:t>
            </w:r>
            <w:proofErr w:type="spellEnd"/>
            <w:r w:rsidRPr="00555786">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4A5ED4C8" w14:textId="77777777" w:rsidR="00C137C4" w:rsidRPr="00555786" w:rsidRDefault="00D72B56" w:rsidP="00C137C4">
            <w:pPr>
              <w:spacing w:line="264" w:lineRule="exact"/>
              <w:ind w:right="45"/>
              <w:rPr>
                <w:rFonts w:asciiTheme="minorHAnsi" w:hAnsiTheme="minorHAnsi" w:cstheme="minorHAnsi"/>
                <w:color w:val="548DD4" w:themeColor="text2" w:themeTint="99"/>
              </w:rPr>
            </w:pPr>
            <w:hyperlink r:id="rId9" w:tgtFrame="_blank" w:history="1">
              <w:r w:rsidR="00796CD4" w:rsidRPr="00555786">
                <w:rPr>
                  <w:rStyle w:val="Hypertextovprepojenie"/>
                  <w:rFonts w:asciiTheme="minorHAnsi" w:hAnsiTheme="minorHAnsi" w:cstheme="minorHAnsi"/>
                  <w:color w:val="548DD4" w:themeColor="text2" w:themeTint="99"/>
                  <w:shd w:val="clear" w:color="auto" w:fill="FFFFFF"/>
                </w:rPr>
                <w:t>http://www.uvo.gov.sk/profily/-/profil/pdetail/6463</w:t>
              </w:r>
            </w:hyperlink>
          </w:p>
          <w:p w14:paraId="5905E3B3" w14:textId="48504473" w:rsidR="00796CD4" w:rsidRPr="00555786" w:rsidRDefault="00796CD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570C050A"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796CD4" w:rsidRPr="00796CD4">
        <w:rPr>
          <w:rFonts w:asciiTheme="minorHAnsi" w:eastAsiaTheme="minorHAnsi" w:hAnsiTheme="minorHAnsi" w:cstheme="minorHAnsi"/>
          <w:sz w:val="22"/>
          <w:szCs w:val="22"/>
          <w:lang w:val="sk-SK" w:eastAsia="en-US"/>
        </w:rPr>
        <w:t>Vranov n. T. – Dobudovanie a rekonštrukcia technickej infraštruktúry na Ul. Cintorínskej</w:t>
      </w:r>
      <w:r w:rsidR="00C137C4" w:rsidRPr="00C137C4">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04720445" w14:textId="75824532" w:rsidR="00796CD4" w:rsidRPr="00796CD4" w:rsidRDefault="00796CD4" w:rsidP="00413D56">
      <w:pPr>
        <w:pStyle w:val="Odsekzoznamu"/>
        <w:widowControl/>
        <w:adjustRightInd w:val="0"/>
        <w:ind w:left="787" w:firstLine="79"/>
        <w:rPr>
          <w:rFonts w:asciiTheme="minorHAnsi" w:hAnsiTheme="minorHAnsi" w:cstheme="minorHAnsi"/>
        </w:rPr>
      </w:pPr>
      <w:r w:rsidRPr="00796CD4">
        <w:rPr>
          <w:rFonts w:asciiTheme="minorHAnsi" w:eastAsiaTheme="minorHAnsi" w:hAnsiTheme="minorHAnsi" w:cstheme="minorHAnsi"/>
          <w:lang w:val="sk-SK" w:eastAsia="en-US"/>
        </w:rPr>
        <w:t>45233252-0</w:t>
      </w:r>
      <w:r w:rsidR="00413D56">
        <w:rPr>
          <w:rFonts w:asciiTheme="minorHAnsi" w:eastAsiaTheme="minorHAnsi" w:hAnsiTheme="minorHAnsi" w:cstheme="minorHAnsi"/>
          <w:lang w:val="sk-SK" w:eastAsia="en-US"/>
        </w:rPr>
        <w:t xml:space="preserve">, </w:t>
      </w:r>
      <w:r w:rsidRPr="00796CD4">
        <w:rPr>
          <w:rFonts w:asciiTheme="minorHAnsi" w:eastAsiaTheme="minorHAnsi" w:hAnsiTheme="minorHAnsi" w:cstheme="minorHAnsi"/>
          <w:lang w:val="sk-SK" w:eastAsia="en-US"/>
        </w:rPr>
        <w:t>45233120-6</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01931A79" w:rsidR="004C4559" w:rsidRPr="00413D56" w:rsidRDefault="00413D56" w:rsidP="00C137C4">
      <w:pPr>
        <w:pStyle w:val="Odsekzoznamu"/>
        <w:ind w:left="876"/>
        <w:rPr>
          <w:rFonts w:asciiTheme="minorHAnsi" w:hAnsiTheme="minorHAnsi" w:cstheme="minorHAnsi"/>
          <w:b/>
          <w:bCs/>
        </w:rPr>
      </w:pPr>
      <w:r w:rsidRPr="00413D56">
        <w:rPr>
          <w:rFonts w:asciiTheme="minorHAnsi" w:eastAsiaTheme="minorHAnsi" w:hAnsiTheme="minorHAnsi" w:cstheme="minorHAnsi"/>
          <w:lang w:val="sk-SK" w:eastAsia="en-US"/>
        </w:rPr>
        <w:t xml:space="preserve">ul. Cintorínska, mesto Vranov nad Topľou, k. ú. </w:t>
      </w:r>
      <w:proofErr w:type="spellStart"/>
      <w:r w:rsidRPr="00413D56">
        <w:rPr>
          <w:rFonts w:asciiTheme="minorHAnsi" w:eastAsiaTheme="minorHAnsi" w:hAnsiTheme="minorHAnsi" w:cstheme="minorHAnsi"/>
          <w:lang w:val="sk-SK" w:eastAsia="en-US"/>
        </w:rPr>
        <w:t>Čermerné</w:t>
      </w:r>
      <w:proofErr w:type="spellEnd"/>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19333A0D"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413D56" w:rsidRPr="00555786">
        <w:rPr>
          <w:rFonts w:asciiTheme="minorHAnsi" w:eastAsia="Times New Roman" w:hAnsiTheme="minorHAnsi" w:cstheme="minorHAnsi"/>
          <w:b/>
          <w:bCs/>
        </w:rPr>
        <w:t>8</w:t>
      </w:r>
      <w:r w:rsidRPr="00555786">
        <w:rPr>
          <w:rFonts w:asciiTheme="minorHAnsi" w:eastAsia="Times New Roman" w:hAnsiTheme="minorHAnsi" w:cstheme="minorHAnsi"/>
          <w:b/>
          <w:bCs/>
        </w:rPr>
        <w:t xml:space="preserve"> 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560DD93B"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413D56" w:rsidRPr="00413D56">
        <w:rPr>
          <w:rFonts w:asciiTheme="minorHAnsi" w:eastAsiaTheme="minorHAnsi" w:hAnsiTheme="minorHAnsi" w:cstheme="minorHAnsi"/>
          <w:b/>
          <w:bCs/>
          <w:lang w:val="sk-SK" w:eastAsia="en-US"/>
        </w:rPr>
        <w:t>303 024,20</w:t>
      </w:r>
      <w:r w:rsidR="00413D56">
        <w:rPr>
          <w:rFonts w:ascii="Tahoma" w:eastAsiaTheme="minorHAnsi" w:hAnsi="Tahoma" w:cs="Tahoma"/>
          <w:sz w:val="18"/>
          <w:szCs w:val="18"/>
          <w:lang w:val="sk-SK" w:eastAsia="en-US"/>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191A93F0" w14:textId="721C3004" w:rsidR="009E2A67" w:rsidRPr="00413D56" w:rsidRDefault="00413D56" w:rsidP="00413D56">
      <w:pPr>
        <w:pStyle w:val="Zkladntext"/>
        <w:ind w:left="787" w:firstLine="79"/>
        <w:rPr>
          <w:rFonts w:asciiTheme="minorHAnsi" w:eastAsiaTheme="minorHAnsi" w:hAnsiTheme="minorHAnsi" w:cstheme="minorHAnsi"/>
          <w:sz w:val="22"/>
          <w:szCs w:val="22"/>
          <w:lang w:val="sk-SK" w:eastAsia="en-US"/>
        </w:rPr>
      </w:pPr>
      <w:r w:rsidRPr="00413D56">
        <w:rPr>
          <w:rFonts w:asciiTheme="minorHAnsi" w:eastAsiaTheme="minorHAnsi" w:hAnsiTheme="minorHAnsi" w:cstheme="minorHAnsi"/>
          <w:sz w:val="22"/>
          <w:szCs w:val="22"/>
          <w:lang w:val="sk-SK" w:eastAsia="en-US"/>
        </w:rPr>
        <w:t>Operačný program ľudské zdroje, kód výzvy: OPLZ-PO6-SC611-2019-1</w:t>
      </w:r>
      <w:r>
        <w:rPr>
          <w:rFonts w:asciiTheme="minorHAnsi" w:eastAsiaTheme="minorHAnsi" w:hAnsiTheme="minorHAnsi" w:cstheme="minorHAnsi"/>
          <w:sz w:val="22"/>
          <w:szCs w:val="22"/>
          <w:lang w:val="sk-SK" w:eastAsia="en-US"/>
        </w:rPr>
        <w:t>.</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C044D9" w:rsidRPr="00C044D9">
        <w:rPr>
          <w:rFonts w:asciiTheme="minorHAnsi" w:hAnsiTheme="minorHAnsi" w:cstheme="minorHAnsi"/>
          <w:b/>
          <w:highlight w:val="yellow"/>
        </w:rPr>
        <w:t>1</w:t>
      </w:r>
      <w:r w:rsidR="00B95622">
        <w:rPr>
          <w:rFonts w:asciiTheme="minorHAnsi" w:hAnsiTheme="minorHAnsi" w:cstheme="minorHAnsi"/>
          <w:b/>
          <w:highlight w:val="yellow"/>
        </w:rPr>
        <w:t>2</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9E2A67" w:rsidRPr="00C044D9">
        <w:rPr>
          <w:rFonts w:asciiTheme="minorHAnsi" w:hAnsiTheme="minorHAnsi" w:cstheme="minorHAnsi"/>
          <w:b/>
          <w:highlight w:val="yellow"/>
        </w:rPr>
        <w:t>1</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49A60252" w14:textId="01BDF460" w:rsidR="00AC669C" w:rsidRPr="00AC669C" w:rsidRDefault="00D72B56" w:rsidP="00AC669C">
      <w:pPr>
        <w:pStyle w:val="Odsekzoznamu"/>
        <w:ind w:left="787" w:firstLine="64"/>
        <w:rPr>
          <w:rFonts w:asciiTheme="minorHAnsi" w:hAnsiTheme="minorHAnsi" w:cstheme="minorHAnsi"/>
          <w:b/>
          <w:bCs/>
        </w:rPr>
      </w:pPr>
      <w:hyperlink r:id="rId10" w:history="1">
        <w:r w:rsidR="00AC669C" w:rsidRPr="00AC669C">
          <w:rPr>
            <w:rStyle w:val="Hypertextovprepojenie"/>
            <w:rFonts w:asciiTheme="minorHAnsi" w:hAnsiTheme="minorHAnsi" w:cstheme="minorHAnsi"/>
            <w:b/>
            <w:bCs/>
          </w:rPr>
          <w:t>https://josephine.proebiz.com/sk/tender/10954/summary</w:t>
        </w:r>
      </w:hyperlink>
    </w:p>
    <w:p w14:paraId="0F6F2DD3" w14:textId="77777777" w:rsidR="00C044D9" w:rsidRPr="0067710C" w:rsidRDefault="00C044D9" w:rsidP="00AC669C">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9594E41" w14:textId="77777777" w:rsidR="00AC669C" w:rsidRPr="00AC669C" w:rsidRDefault="00D72B56" w:rsidP="00AC669C">
      <w:pPr>
        <w:pStyle w:val="Odsekzoznamu"/>
        <w:ind w:left="787" w:firstLine="64"/>
        <w:rPr>
          <w:rFonts w:asciiTheme="minorHAnsi" w:hAnsiTheme="minorHAnsi" w:cstheme="minorHAnsi"/>
          <w:b/>
          <w:bCs/>
        </w:rPr>
      </w:pPr>
      <w:hyperlink r:id="rId11" w:history="1">
        <w:r w:rsidR="00AC669C" w:rsidRPr="00AC669C">
          <w:rPr>
            <w:rStyle w:val="Hypertextovprepojenie"/>
            <w:rFonts w:asciiTheme="minorHAnsi" w:hAnsiTheme="minorHAnsi" w:cstheme="minorHAnsi"/>
            <w:b/>
            <w:bCs/>
          </w:rPr>
          <w:t>https://josephine.proebiz.com/sk/tender/10954/summary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32602169"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356E08" w:rsidRPr="00555786">
        <w:rPr>
          <w:rFonts w:asciiTheme="minorHAnsi" w:eastAsiaTheme="minorHAnsi" w:hAnsiTheme="minorHAnsi" w:cstheme="minorHAnsi"/>
          <w:b/>
          <w:bCs/>
          <w:i/>
          <w:iCs/>
          <w:lang w:val="sk-SK" w:eastAsia="en-US"/>
        </w:rPr>
        <w:t>Vranov n. T. – Dobudovanie a rekonštrukcia technickej infraštruktúry na Ul. Cintorínskej</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06F99F8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356E08">
        <w:rPr>
          <w:rFonts w:asciiTheme="minorHAnsi" w:hAnsiTheme="minorHAnsi" w:cstheme="minorHAnsi"/>
          <w:i w:val="0"/>
          <w:sz w:val="22"/>
          <w:szCs w:val="22"/>
          <w:highlight w:val="yellow"/>
        </w:rPr>
        <w:t>8</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A65255" w:rsidRPr="00A65255">
        <w:rPr>
          <w:rFonts w:asciiTheme="minorHAnsi" w:eastAsia="Calibri" w:hAnsiTheme="minorHAnsi" w:cstheme="minorHAnsi"/>
          <w:b/>
          <w:bCs/>
          <w:color w:val="000000"/>
          <w:highlight w:val="yellow"/>
        </w:rPr>
        <w:t>1</w:t>
      </w:r>
      <w:r w:rsidR="00B95622">
        <w:rPr>
          <w:rFonts w:asciiTheme="minorHAnsi" w:eastAsia="Calibri" w:hAnsiTheme="minorHAnsi" w:cstheme="minorHAnsi"/>
          <w:b/>
          <w:bCs/>
          <w:color w:val="000000"/>
          <w:highlight w:val="yellow"/>
        </w:rPr>
        <w:t>2</w:t>
      </w:r>
      <w:r w:rsidRPr="00A65255">
        <w:rPr>
          <w:rFonts w:asciiTheme="minorHAnsi" w:eastAsia="Calibri" w:hAnsiTheme="minorHAnsi" w:cstheme="minorHAnsi"/>
          <w:b/>
          <w:bCs/>
          <w:color w:val="000000"/>
          <w:highlight w:val="yellow"/>
        </w:rPr>
        <w:t>.20</w:t>
      </w:r>
      <w:r w:rsidR="00A407B0" w:rsidRPr="00A65255">
        <w:rPr>
          <w:rFonts w:asciiTheme="minorHAnsi" w:eastAsia="Calibri" w:hAnsiTheme="minorHAnsi" w:cstheme="minorHAnsi"/>
          <w:b/>
          <w:bCs/>
          <w:color w:val="000000"/>
          <w:highlight w:val="yellow"/>
        </w:rPr>
        <w:t>2</w:t>
      </w:r>
      <w:r w:rsidR="00D77B10" w:rsidRPr="00A65255">
        <w:rPr>
          <w:rFonts w:asciiTheme="minorHAnsi" w:eastAsia="Calibri" w:hAnsiTheme="minorHAnsi" w:cstheme="minorHAnsi"/>
          <w:b/>
          <w:bCs/>
          <w:color w:val="000000"/>
          <w:highlight w:val="yellow"/>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24AE9E7C"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w:t>
      </w:r>
      <w:r w:rsidR="009736AA" w:rsidRPr="00555786">
        <w:rPr>
          <w:rFonts w:asciiTheme="minorHAnsi" w:hAnsiTheme="minorHAnsi" w:cstheme="minorHAnsi"/>
          <w:color w:val="000000" w:themeColor="text1"/>
          <w:lang w:eastAsia="sk-SK"/>
        </w:rPr>
        <w:t xml:space="preserve"> (pri vkladaní do systému JOSEPHINE označená ako „Celková cena (kritérium hodnotenia)“)</w:t>
      </w:r>
      <w:r w:rsidRPr="00555786">
        <w:rPr>
          <w:rFonts w:asciiTheme="minorHAnsi" w:hAnsiTheme="minorHAnsi" w:cstheme="minorHAnsi"/>
          <w:color w:val="000000" w:themeColor="text1"/>
          <w:lang w:eastAsia="sk-SK"/>
        </w:rPr>
        <w:t>, sadzba DPH, cena s</w:t>
      </w:r>
      <w:r w:rsidR="009736AA" w:rsidRPr="00555786">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221C0548" w14:textId="179E719C" w:rsidR="00AC669C" w:rsidRPr="00AC669C" w:rsidRDefault="00D72B56" w:rsidP="00AC669C">
      <w:pPr>
        <w:pStyle w:val="Odsekzoznamu"/>
        <w:ind w:left="491" w:firstLine="360"/>
        <w:rPr>
          <w:rFonts w:asciiTheme="minorHAnsi" w:hAnsiTheme="minorHAnsi" w:cstheme="minorHAnsi"/>
          <w:b/>
          <w:bCs/>
        </w:rPr>
      </w:pPr>
      <w:hyperlink r:id="rId14" w:history="1">
        <w:r w:rsidR="00AC669C" w:rsidRPr="00FC7A14">
          <w:rPr>
            <w:rStyle w:val="Hypertextovprepojenie"/>
            <w:rFonts w:asciiTheme="minorHAnsi" w:hAnsiTheme="minorHAnsi" w:cstheme="minorHAnsi"/>
            <w:b/>
            <w:bCs/>
          </w:rPr>
          <w:t>https://josephine.proebiz.com/sk/tender/10954/summary</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07F11C51"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356E08" w:rsidRPr="00555786">
        <w:rPr>
          <w:rFonts w:asciiTheme="minorHAnsi" w:eastAsiaTheme="minorHAnsi" w:hAnsiTheme="minorHAnsi" w:cstheme="minorHAnsi"/>
          <w:b/>
          <w:bCs/>
          <w:lang w:val="sk-SK" w:eastAsia="en-US"/>
        </w:rPr>
        <w:t>Vranov nad Topľou</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50841E1D"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356E08" w:rsidRPr="00555786">
        <w:rPr>
          <w:rFonts w:asciiTheme="minorHAnsi" w:eastAsiaTheme="minorHAnsi" w:hAnsiTheme="minorHAnsi" w:cstheme="minorHAnsi"/>
          <w:b/>
          <w:bCs/>
          <w:i/>
          <w:iCs/>
          <w:lang w:val="sk-SK" w:eastAsia="en-US"/>
        </w:rPr>
        <w:t>Vranov n. T. – Dobudovanie a rekonštrukcia technickej infraštruktúry na Ul. Cintorínskej</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77777777"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PROEBIZ.</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4BAD23A1"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17099259" w14:textId="11AB2E8F"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8E28292"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9736AA">
        <w:rPr>
          <w:rFonts w:asciiTheme="minorHAnsi" w:hAnsiTheme="minorHAnsi" w:cstheme="minorHAnsi"/>
          <w:color w:val="000000"/>
        </w:rPr>
        <w:t>bez</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453835B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9736AA" w:rsidRPr="00555786">
        <w:rPr>
          <w:rFonts w:asciiTheme="minorHAnsi" w:eastAsiaTheme="minorHAnsi" w:hAnsiTheme="minorHAnsi" w:cstheme="minorHAnsi"/>
          <w:lang w:eastAsia="en-US"/>
        </w:rPr>
        <w:t>bez</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1F78D7BD"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 xml:space="preserve">Vestníku verejného </w:t>
      </w:r>
      <w:r w:rsidRPr="00356E08">
        <w:rPr>
          <w:rFonts w:asciiTheme="minorHAnsi" w:hAnsiTheme="minorHAnsi" w:cstheme="minorHAnsi"/>
          <w:b/>
          <w:bCs/>
        </w:rPr>
        <w:t>obstarávania</w:t>
      </w:r>
      <w:r w:rsidRPr="00356E08">
        <w:rPr>
          <w:rFonts w:asciiTheme="minorHAnsi" w:hAnsiTheme="minorHAnsi" w:cstheme="minorHAnsi"/>
        </w:rPr>
        <w:t xml:space="preserve"> </w:t>
      </w:r>
      <w:r w:rsidRPr="00356E08">
        <w:rPr>
          <w:rFonts w:asciiTheme="minorHAnsi" w:hAnsiTheme="minorHAnsi" w:cstheme="minorHAnsi"/>
          <w:b/>
          <w:bCs/>
          <w:color w:val="000000" w:themeColor="text1"/>
        </w:rPr>
        <w:t xml:space="preserve">č. </w:t>
      </w:r>
      <w:r w:rsidR="00356E08" w:rsidRPr="00356E08">
        <w:rPr>
          <w:rFonts w:asciiTheme="minorHAnsi" w:hAnsiTheme="minorHAnsi" w:cstheme="minorHAnsi"/>
          <w:b/>
          <w:i/>
          <w:iCs/>
          <w:color w:val="000000"/>
        </w:rPr>
        <w:t>53/2021 – 23.02.2021, zn. 13953</w:t>
      </w:r>
      <w:r w:rsidR="00356E08" w:rsidRPr="00356E08">
        <w:rPr>
          <w:rFonts w:asciiTheme="minorHAnsi" w:hAnsiTheme="minorHAnsi" w:cstheme="minorHAnsi"/>
          <w:b/>
          <w:bCs/>
          <w:i/>
          <w:iCs/>
          <w:color w:val="000000"/>
        </w:rPr>
        <w:t>- WYP</w:t>
      </w:r>
      <w:r w:rsidRPr="000B3D21">
        <w:rPr>
          <w:rFonts w:asciiTheme="minorHAnsi" w:hAnsiTheme="minorHAnsi" w:cstheme="minorHAnsi"/>
        </w:rPr>
        <w:t xml:space="preserve"> (ODDIEL III. Časť III.1.)    </w:t>
      </w:r>
    </w:p>
    <w:p w14:paraId="7E03A28C" w14:textId="77777777" w:rsidR="000B3D21" w:rsidRDefault="000B3D21"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3832A8D7" w14:textId="1A67C1B6" w:rsidR="00D72B56" w:rsidRDefault="009C6123" w:rsidP="009C6123">
      <w:pPr>
        <w:widowControl/>
        <w:adjustRightInd w:val="0"/>
        <w:rPr>
          <w:rFonts w:asciiTheme="minorHAnsi" w:eastAsiaTheme="minorHAnsi" w:hAnsiTheme="minorHAnsi" w:cstheme="minorHAnsi"/>
          <w:b/>
          <w:bCs/>
          <w:lang w:val="sk-SK" w:eastAsia="en-US"/>
        </w:rPr>
      </w:pPr>
      <w:r w:rsidRPr="009C6123">
        <w:rPr>
          <w:rFonts w:asciiTheme="minorHAnsi" w:eastAsiaTheme="minorHAnsi" w:hAnsiTheme="minorHAnsi" w:cstheme="minorHAnsi"/>
          <w:b/>
          <w:bCs/>
          <w:lang w:val="sk-SK" w:eastAsia="en-US"/>
        </w:rPr>
        <w:t>OSOBNÉ POSTAVENIE, EKONOMICKÉ, FINANČNÉ A TECHNICKÉ INFORMÁCIE</w:t>
      </w:r>
      <w:r>
        <w:rPr>
          <w:rFonts w:asciiTheme="minorHAnsi" w:eastAsiaTheme="minorHAnsi" w:hAnsiTheme="minorHAnsi" w:cstheme="minorHAnsi"/>
          <w:b/>
          <w:bCs/>
          <w:lang w:val="sk-SK" w:eastAsia="en-US"/>
        </w:rPr>
        <w:t xml:space="preserve">, </w:t>
      </w:r>
      <w:r w:rsidRPr="009C6123">
        <w:rPr>
          <w:rFonts w:asciiTheme="minorHAnsi" w:eastAsiaTheme="minorHAnsi" w:hAnsiTheme="minorHAnsi" w:cstheme="minorHAnsi"/>
          <w:b/>
          <w:bCs/>
          <w:lang w:val="sk-SK" w:eastAsia="en-US"/>
        </w:rPr>
        <w:t>PODMIENKY ÚČASTI</w:t>
      </w:r>
    </w:p>
    <w:p w14:paraId="197F3611" w14:textId="77777777" w:rsidR="009C6123" w:rsidRPr="009C6123" w:rsidRDefault="009C6123" w:rsidP="009C6123">
      <w:pPr>
        <w:widowControl/>
        <w:adjustRightInd w:val="0"/>
        <w:rPr>
          <w:rFonts w:asciiTheme="minorHAnsi" w:eastAsiaTheme="minorHAnsi" w:hAnsiTheme="minorHAnsi" w:cstheme="minorHAnsi"/>
          <w:b/>
          <w:bCs/>
          <w:lang w:val="sk-SK" w:eastAsia="en-US"/>
        </w:rPr>
      </w:pPr>
    </w:p>
    <w:p w14:paraId="6A0A6854" w14:textId="77777777" w:rsidR="009C6123" w:rsidRPr="009C6123" w:rsidRDefault="00D72B56" w:rsidP="009B520B">
      <w:pPr>
        <w:pStyle w:val="Odsekzoznamu"/>
        <w:numPr>
          <w:ilvl w:val="2"/>
          <w:numId w:val="6"/>
        </w:numPr>
        <w:tabs>
          <w:tab w:val="left" w:pos="426"/>
        </w:tabs>
        <w:jc w:val="both"/>
        <w:rPr>
          <w:rFonts w:asciiTheme="minorHAnsi" w:eastAsiaTheme="minorHAnsi" w:hAnsiTheme="minorHAnsi" w:cstheme="minorHAnsi"/>
          <w:color w:val="000000" w:themeColor="text1"/>
          <w:lang w:eastAsia="en-US"/>
        </w:rPr>
      </w:pPr>
      <w:r w:rsidRPr="009C6123">
        <w:rPr>
          <w:rFonts w:asciiTheme="minorHAnsi" w:eastAsiaTheme="minorHAnsi" w:hAnsiTheme="minorHAnsi" w:cstheme="minorHAnsi"/>
          <w:b/>
          <w:bCs/>
          <w:lang w:val="sk-SK" w:eastAsia="en-US"/>
        </w:rPr>
        <w:t xml:space="preserve">Osobné postavenie vrátane požiadaviek týkajúcich sa zápisu do živnostenských alebo obchodných registrov: </w:t>
      </w:r>
    </w:p>
    <w:p w14:paraId="1E86255C" w14:textId="6E3173C0"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Zoznam a krátky opis podmienok: Verejného obstarávania sa môže zúčastniť len ten, kto spĺňa tieto podmienky účasti</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týkajúce sa osobného postavenia:</w:t>
      </w:r>
    </w:p>
    <w:p w14:paraId="64DAC17C" w14:textId="2C92C8BD"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Uchádzač musí splniť podmienky účasti týkajúce sa osobného postavenia podľa § 32 ods. 1 písm. e) a f) zákona č.</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343/2015 Z. z. o verejnom obstarávaní a o zmene a doplnení niektorých zákonov v znení neskorších predpisov (ďalej len</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ZVO).</w:t>
      </w:r>
    </w:p>
    <w:p w14:paraId="395E55E9" w14:textId="77D9759B"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Splnenie týchto podmienok účasti uchádzač preukáže predložením dokladu o oprávnení uskutočňovať stavebné práce,</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ktorý zodpovedá predmetu zákazky podľa § 32 ods. 2 písm. e) a predložením dokladu - doloženým čestným vyhlásením,</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že nemá uložený zákaz účasti vo verejnom obstarávaní potvrdený konečným rozhodnutím v Slovenskej republike alebo v</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štáte sídla, miesta podnikania alebo obvyklého pobytu podľa § 32 ods. 2 písm. f) ZVO.</w:t>
      </w:r>
    </w:p>
    <w:p w14:paraId="2BCE09F5" w14:textId="56C01D97"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Hospodársky subjekt môže preukázať splnenie podmienok účasti osobného postavenia v zmysle § 152 ZVO, a</w:t>
      </w:r>
      <w:r>
        <w:rPr>
          <w:rFonts w:asciiTheme="minorHAnsi" w:eastAsiaTheme="minorHAnsi" w:hAnsiTheme="minorHAnsi" w:cstheme="minorHAnsi"/>
          <w:lang w:val="sk-SK" w:eastAsia="en-US"/>
        </w:rPr>
        <w:t> </w:t>
      </w:r>
      <w:r w:rsidRPr="009C6123">
        <w:rPr>
          <w:rFonts w:asciiTheme="minorHAnsi" w:eastAsiaTheme="minorHAnsi" w:hAnsiTheme="minorHAnsi" w:cstheme="minorHAnsi"/>
          <w:lang w:val="sk-SK" w:eastAsia="en-US"/>
        </w:rPr>
        <w:t>to</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zápisom do zoznamu hospodárskych subjektov.</w:t>
      </w:r>
    </w:p>
    <w:p w14:paraId="0B020A4E" w14:textId="4C9BECC0"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Verejný obstarávateľ informuje uchádzačov, že podľa § 32 ods. 3 ZVO nevyžaduje prekladať od uchádzačov z</w:t>
      </w:r>
      <w:r>
        <w:rPr>
          <w:rFonts w:asciiTheme="minorHAnsi" w:eastAsiaTheme="minorHAnsi" w:hAnsiTheme="minorHAnsi" w:cstheme="minorHAnsi"/>
          <w:lang w:val="sk-SK" w:eastAsia="en-US"/>
        </w:rPr>
        <w:t> </w:t>
      </w:r>
      <w:r w:rsidRPr="009C6123">
        <w:rPr>
          <w:rFonts w:asciiTheme="minorHAnsi" w:eastAsiaTheme="minorHAnsi" w:hAnsiTheme="minorHAnsi" w:cstheme="minorHAnsi"/>
          <w:lang w:val="sk-SK" w:eastAsia="en-US"/>
        </w:rPr>
        <w:t>dôvodu</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použitia údajov z informačných systémov verejnej správy nasledovný doklad:</w:t>
      </w:r>
    </w:p>
    <w:p w14:paraId="3067AF33" w14:textId="7E9B807D"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 doklad o oprávnení uskutočňovať stavebné práce, ktorý zodpovedá predmetu zákazky (§ 32 ods. 2 písm. e) ZVO (v</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rozsahu zápisov v obchodnom alebo v živnostenskom registri SR).</w:t>
      </w:r>
    </w:p>
    <w:p w14:paraId="1B20C26F" w14:textId="2491FB82" w:rsidR="00D72B56" w:rsidRDefault="009C6123" w:rsidP="009C6123">
      <w:pPr>
        <w:tabs>
          <w:tab w:val="left" w:pos="426"/>
        </w:tabs>
        <w:ind w:left="851"/>
        <w:jc w:val="both"/>
        <w:rPr>
          <w:rFonts w:asciiTheme="minorHAnsi" w:hAnsiTheme="minorHAnsi" w:cstheme="minorHAnsi"/>
        </w:rPr>
      </w:pPr>
      <w:r w:rsidRPr="009C6123">
        <w:rPr>
          <w:rFonts w:asciiTheme="minorHAnsi" w:eastAsiaTheme="minorHAnsi" w:hAnsiTheme="minorHAnsi" w:cstheme="minorHAnsi"/>
          <w:lang w:val="sk-SK" w:eastAsia="en-US"/>
        </w:rPr>
        <w:t>V prípade, že uchádzačom je skupina dodávateľov, použije sa ustanovenie § 37 ZVO.</w:t>
      </w:r>
    </w:p>
    <w:p w14:paraId="0F6A686C" w14:textId="77777777" w:rsidR="009C6123" w:rsidRPr="009C6123" w:rsidRDefault="009C6123" w:rsidP="009C6123">
      <w:pPr>
        <w:tabs>
          <w:tab w:val="left" w:pos="426"/>
        </w:tabs>
        <w:ind w:left="851"/>
        <w:jc w:val="both"/>
        <w:rPr>
          <w:rFonts w:asciiTheme="minorHAnsi" w:eastAsiaTheme="minorHAnsi" w:hAnsiTheme="minorHAnsi" w:cstheme="minorHAnsi"/>
          <w:color w:val="000000" w:themeColor="text1"/>
          <w:lang w:eastAsia="en-US"/>
        </w:rPr>
      </w:pPr>
    </w:p>
    <w:p w14:paraId="4795FD2B" w14:textId="6D393C4B" w:rsidR="00766D47" w:rsidRPr="009C6123" w:rsidRDefault="00D72B56" w:rsidP="00766D47">
      <w:pPr>
        <w:pStyle w:val="Odsekzoznamu"/>
        <w:widowControl/>
        <w:numPr>
          <w:ilvl w:val="2"/>
          <w:numId w:val="6"/>
        </w:numPr>
        <w:adjustRightInd w:val="0"/>
        <w:jc w:val="both"/>
        <w:rPr>
          <w:rFonts w:asciiTheme="minorHAnsi" w:hAnsiTheme="minorHAnsi" w:cstheme="minorHAnsi"/>
          <w:b/>
          <w:bCs/>
          <w:color w:val="808080"/>
        </w:rPr>
      </w:pPr>
      <w:r w:rsidRPr="00D72B56">
        <w:rPr>
          <w:rFonts w:asciiTheme="minorHAnsi" w:eastAsiaTheme="minorHAnsi" w:hAnsiTheme="minorHAnsi" w:cstheme="minorHAnsi"/>
          <w:b/>
          <w:bCs/>
          <w:lang w:val="sk-SK" w:eastAsia="en-US"/>
        </w:rPr>
        <w:t xml:space="preserve">Ekonomické a finančné postavenie: </w:t>
      </w:r>
    </w:p>
    <w:p w14:paraId="3FF7AD4A" w14:textId="77777777" w:rsidR="009C6123" w:rsidRPr="009C6123" w:rsidRDefault="009C6123" w:rsidP="009C6123">
      <w:pPr>
        <w:widowControl/>
        <w:adjustRightInd w:val="0"/>
        <w:ind w:left="851"/>
        <w:jc w:val="both"/>
        <w:rPr>
          <w:rFonts w:asciiTheme="minorHAnsi" w:eastAsiaTheme="minorHAnsi" w:hAnsiTheme="minorHAnsi" w:cstheme="minorHAnsi"/>
          <w:b/>
          <w:bCs/>
          <w:u w:val="single"/>
          <w:lang w:val="sk-SK" w:eastAsia="en-US"/>
        </w:rPr>
      </w:pPr>
      <w:r w:rsidRPr="009C6123">
        <w:rPr>
          <w:rFonts w:asciiTheme="minorHAnsi" w:eastAsiaTheme="minorHAnsi" w:hAnsiTheme="minorHAnsi" w:cstheme="minorHAnsi"/>
          <w:b/>
          <w:bCs/>
          <w:u w:val="single"/>
          <w:lang w:val="sk-SK" w:eastAsia="en-US"/>
        </w:rPr>
        <w:t xml:space="preserve">Zoznam a krátky opis podmienok: </w:t>
      </w:r>
    </w:p>
    <w:p w14:paraId="019927AB" w14:textId="1D898673"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Podľa § 33 ods. 1 písm. a) ZVO vyjadrením banky alebo pobočky zahraničnej banky.</w:t>
      </w:r>
    </w:p>
    <w:p w14:paraId="25B38683" w14:textId="77777777" w:rsidR="009C6123" w:rsidRDefault="009C6123" w:rsidP="009C6123">
      <w:pPr>
        <w:widowControl/>
        <w:adjustRightInd w:val="0"/>
        <w:ind w:left="851"/>
        <w:jc w:val="both"/>
        <w:rPr>
          <w:rFonts w:asciiTheme="minorHAnsi" w:eastAsiaTheme="minorHAnsi" w:hAnsiTheme="minorHAnsi" w:cstheme="minorHAnsi"/>
          <w:lang w:val="sk-SK" w:eastAsia="en-US"/>
        </w:rPr>
      </w:pPr>
    </w:p>
    <w:p w14:paraId="64D4E0BA" w14:textId="77777777" w:rsid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b/>
          <w:bCs/>
          <w:u w:val="single"/>
          <w:lang w:val="sk-SK" w:eastAsia="en-US"/>
        </w:rPr>
        <w:t xml:space="preserve">Minimálna požadovaná úroveň štandardov: </w:t>
      </w:r>
    </w:p>
    <w:p w14:paraId="12C03887" w14:textId="7CE6B484"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Podľa § 33 ods. 1 písm. a) ZVO vyjadrením banky alebo pobočky</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zahraničnej banky.</w:t>
      </w:r>
    </w:p>
    <w:p w14:paraId="2AFE4452" w14:textId="7AF15FC9"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Uchádzač preukáže vyjadrenie banky, alebo pobočky zahraničnej banky, a to nezáväzný úverový prísľub, ktorým banka</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alebo pobočka zahraničnej banky uchádzačovi prisľúbi, že v prípade, že sa stane úspešným uchádzačom a</w:t>
      </w:r>
      <w:r>
        <w:rPr>
          <w:rFonts w:asciiTheme="minorHAnsi" w:eastAsiaTheme="minorHAnsi" w:hAnsiTheme="minorHAnsi" w:cstheme="minorHAnsi"/>
          <w:lang w:val="sk-SK" w:eastAsia="en-US"/>
        </w:rPr>
        <w:t> </w:t>
      </w:r>
      <w:r w:rsidRPr="009C6123">
        <w:rPr>
          <w:rFonts w:asciiTheme="minorHAnsi" w:eastAsiaTheme="minorHAnsi" w:hAnsiTheme="minorHAnsi" w:cstheme="minorHAnsi"/>
          <w:lang w:val="sk-SK" w:eastAsia="en-US"/>
        </w:rPr>
        <w:t>požiada</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banku alebo pobočku zahraničnej banky o poskytnutie úveru, banka alebo pobočka zahraničnej banky mu poskytne úver</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v objeme minimálne 100 000,- EUR na účely finančného plnenia zákazky, ktorej predmetom je "Vranov n. T.</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Dobudovanie a rekonštrukcia technickej infraštruktúry na Ul. Cintorínskej", vyhlásenej verejným obstarávateľom mesto</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Vranov nad Topľou (alebo ekvivalent v inej mene podľa kurzu ECB, platného ku dňu odoslania výzvy do Vestníka).</w:t>
      </w:r>
    </w:p>
    <w:p w14:paraId="778FC172" w14:textId="77777777"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Z vyjadrenia banky alebo pobočky zahraničnej banky, musia byť z hľadiska obsahu jasne a určito zrejmé všetky</w:t>
      </w:r>
    </w:p>
    <w:p w14:paraId="70AFD4E5" w14:textId="70528D15" w:rsidR="009C6123" w:rsidRPr="009C6123"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skutočnosti a údaje, tak ako je uvedené a požadované verejným obstarávateľom v prvej vete tohto bodu 1, všetko pre</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naplnenie požadovaného účelu, ktorým je preukázanie schopnosti uchádzača prostredníctvom nezáväzného prísľubu</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banky alebo pobočky zahraničnej banky operatívne zabezpečiť disponibilné finančné prostriedky v čase, kedy má dôjsť k</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plneniu Zmluvy, ktorá je výsledkom tohto verejného obstarávania.</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Platnosť úverového prísľubu: minimálne počas lehoty viazanosti ponúk.</w:t>
      </w:r>
    </w:p>
    <w:p w14:paraId="3961EE0D" w14:textId="77777777" w:rsidR="00F61A4E" w:rsidRDefault="009C6123" w:rsidP="009C6123">
      <w:pPr>
        <w:widowControl/>
        <w:adjustRightInd w:val="0"/>
        <w:ind w:left="851"/>
        <w:jc w:val="both"/>
        <w:rPr>
          <w:rFonts w:asciiTheme="minorHAnsi" w:eastAsiaTheme="minorHAnsi" w:hAnsiTheme="minorHAnsi" w:cstheme="minorHAnsi"/>
          <w:lang w:val="sk-SK" w:eastAsia="en-US"/>
        </w:rPr>
      </w:pPr>
      <w:r w:rsidRPr="009C6123">
        <w:rPr>
          <w:rFonts w:asciiTheme="minorHAnsi" w:eastAsiaTheme="minorHAnsi" w:hAnsiTheme="minorHAnsi" w:cstheme="minorHAnsi"/>
          <w:lang w:val="sk-SK" w:eastAsia="en-US"/>
        </w:rPr>
        <w:t>Predložený prísľub banky, alebo pobočky zahraničnej banky ako aj iný dokument (ak je uplatnený) musí byť nie starší</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ako tri mesiace ku dňu predloženia ponuky.</w:t>
      </w:r>
      <w:r>
        <w:rPr>
          <w:rFonts w:asciiTheme="minorHAnsi" w:eastAsiaTheme="minorHAnsi" w:hAnsiTheme="minorHAnsi" w:cstheme="minorHAnsi"/>
          <w:lang w:val="sk-SK" w:eastAsia="en-US"/>
        </w:rPr>
        <w:t xml:space="preserve"> </w:t>
      </w:r>
    </w:p>
    <w:p w14:paraId="47CB01BB" w14:textId="651D8AC7" w:rsidR="009C6123" w:rsidRPr="009C6123" w:rsidRDefault="009C6123" w:rsidP="009C6123">
      <w:pPr>
        <w:widowControl/>
        <w:adjustRightInd w:val="0"/>
        <w:ind w:left="851"/>
        <w:jc w:val="both"/>
        <w:rPr>
          <w:rFonts w:asciiTheme="minorHAnsi" w:hAnsiTheme="minorHAnsi" w:cstheme="minorHAnsi"/>
          <w:b/>
          <w:bCs/>
          <w:color w:val="808080"/>
        </w:rPr>
      </w:pPr>
      <w:r w:rsidRPr="009C6123">
        <w:rPr>
          <w:rFonts w:asciiTheme="minorHAnsi" w:eastAsiaTheme="minorHAnsi" w:hAnsiTheme="minorHAnsi" w:cstheme="minorHAnsi"/>
          <w:lang w:val="sk-SK" w:eastAsia="en-US"/>
        </w:rPr>
        <w:t>Predbežne nahradiť doklady na preukázanie splnenia podmienok účasti týkajúcich sa finančného a</w:t>
      </w:r>
      <w:r>
        <w:rPr>
          <w:rFonts w:asciiTheme="minorHAnsi" w:eastAsiaTheme="minorHAnsi" w:hAnsiTheme="minorHAnsi" w:cstheme="minorHAnsi"/>
          <w:lang w:val="sk-SK" w:eastAsia="en-US"/>
        </w:rPr>
        <w:t> </w:t>
      </w:r>
      <w:r w:rsidRPr="009C6123">
        <w:rPr>
          <w:rFonts w:asciiTheme="minorHAnsi" w:eastAsiaTheme="minorHAnsi" w:hAnsiTheme="minorHAnsi" w:cstheme="minorHAnsi"/>
          <w:lang w:val="sk-SK" w:eastAsia="en-US"/>
        </w:rPr>
        <w:t>ekonomického</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postavenia, určených verejným obstarávateľom môže uchádzač aj spôsobom podľa § 39 ZVO a to Jednotným</w:t>
      </w:r>
      <w:r>
        <w:rPr>
          <w:rFonts w:asciiTheme="minorHAnsi" w:eastAsiaTheme="minorHAnsi" w:hAnsiTheme="minorHAnsi" w:cstheme="minorHAnsi"/>
          <w:lang w:val="sk-SK" w:eastAsia="en-US"/>
        </w:rPr>
        <w:t xml:space="preserve"> </w:t>
      </w:r>
      <w:r w:rsidRPr="009C6123">
        <w:rPr>
          <w:rFonts w:asciiTheme="minorHAnsi" w:eastAsiaTheme="minorHAnsi" w:hAnsiTheme="minorHAnsi" w:cstheme="minorHAnsi"/>
          <w:lang w:val="sk-SK" w:eastAsia="en-US"/>
        </w:rPr>
        <w:t>európskym dokumentom alebo čestným vyhlásením.</w:t>
      </w:r>
    </w:p>
    <w:p w14:paraId="678B0395" w14:textId="3C349070" w:rsidR="008521C9" w:rsidRPr="00766D47" w:rsidRDefault="00D72B56" w:rsidP="00766D47">
      <w:pPr>
        <w:widowControl/>
        <w:adjustRightInd w:val="0"/>
        <w:jc w:val="both"/>
        <w:rPr>
          <w:rFonts w:asciiTheme="minorHAnsi" w:hAnsiTheme="minorHAnsi" w:cstheme="minorHAnsi"/>
          <w:b/>
          <w:bCs/>
          <w:color w:val="808080"/>
        </w:rPr>
      </w:pPr>
      <w:r w:rsidRPr="00766D47">
        <w:rPr>
          <w:rFonts w:asciiTheme="minorHAnsi" w:hAnsiTheme="minorHAnsi" w:cstheme="minorHAnsi"/>
        </w:rPr>
        <w:t xml:space="preserve">   </w:t>
      </w:r>
    </w:p>
    <w:p w14:paraId="271DBE1C" w14:textId="00D073EF" w:rsidR="00D72B56" w:rsidRPr="00D72B56" w:rsidRDefault="00D72B56" w:rsidP="00D72B56">
      <w:pPr>
        <w:pStyle w:val="Odsekzoznamu"/>
        <w:widowControl/>
        <w:numPr>
          <w:ilvl w:val="2"/>
          <w:numId w:val="6"/>
        </w:numPr>
        <w:adjustRightInd w:val="0"/>
        <w:rPr>
          <w:rFonts w:asciiTheme="minorHAnsi" w:hAnsiTheme="minorHAnsi" w:cstheme="minorHAnsi"/>
          <w:b/>
          <w:bCs/>
          <w:color w:val="808080"/>
        </w:rPr>
      </w:pPr>
      <w:r w:rsidRPr="00D72B56">
        <w:rPr>
          <w:rFonts w:asciiTheme="minorHAnsi" w:eastAsiaTheme="minorHAnsi" w:hAnsiTheme="minorHAnsi" w:cstheme="minorHAnsi"/>
          <w:b/>
          <w:bCs/>
          <w:lang w:val="sk-SK" w:eastAsia="en-US"/>
        </w:rPr>
        <w:t>Technická a odborná spôsobilosť</w:t>
      </w:r>
      <w:r>
        <w:rPr>
          <w:rFonts w:asciiTheme="minorHAnsi" w:eastAsiaTheme="minorHAnsi" w:hAnsiTheme="minorHAnsi" w:cstheme="minorHAnsi"/>
          <w:b/>
          <w:bCs/>
          <w:lang w:val="sk-SK" w:eastAsia="en-US"/>
        </w:rPr>
        <w:t xml:space="preserve">: </w:t>
      </w:r>
    </w:p>
    <w:p w14:paraId="57FC51F8" w14:textId="095F1F08" w:rsidR="00D72B56" w:rsidRDefault="00D72B56" w:rsidP="00766D47">
      <w:pPr>
        <w:pStyle w:val="Odsekzoznamu"/>
        <w:widowControl/>
        <w:adjustRightInd w:val="0"/>
        <w:ind w:left="851" w:firstLine="9"/>
        <w:jc w:val="both"/>
        <w:rPr>
          <w:rFonts w:asciiTheme="minorHAnsi" w:eastAsiaTheme="minorHAnsi" w:hAnsiTheme="minorHAnsi" w:cstheme="minorHAnsi"/>
          <w:lang w:val="sk-SK" w:eastAsia="en-US"/>
        </w:rPr>
      </w:pPr>
      <w:r w:rsidRPr="009C4FB4">
        <w:rPr>
          <w:rFonts w:asciiTheme="minorHAnsi" w:eastAsiaTheme="minorHAnsi" w:hAnsiTheme="minorHAnsi" w:cstheme="minorHAnsi"/>
          <w:highlight w:val="green"/>
          <w:lang w:val="sk-SK" w:eastAsia="en-US"/>
        </w:rPr>
        <w:t>Z dôvodu obmedzeného počtu znakov</w:t>
      </w:r>
      <w:r w:rsidR="00766D47" w:rsidRPr="009C4FB4">
        <w:rPr>
          <w:rFonts w:asciiTheme="minorHAnsi" w:eastAsiaTheme="minorHAnsi" w:hAnsiTheme="minorHAnsi" w:cstheme="minorHAnsi"/>
          <w:highlight w:val="green"/>
          <w:lang w:val="sk-SK" w:eastAsia="en-US"/>
        </w:rPr>
        <w:t xml:space="preserve"> vo </w:t>
      </w:r>
      <w:r w:rsidR="00766D47" w:rsidRPr="009C4FB4">
        <w:rPr>
          <w:rFonts w:asciiTheme="minorHAnsi" w:eastAsiaTheme="minorHAnsi" w:hAnsiTheme="minorHAnsi" w:cstheme="minorHAnsi"/>
          <w:i/>
          <w:iCs/>
          <w:highlight w:val="green"/>
          <w:lang w:val="sk-SK" w:eastAsia="en-US"/>
        </w:rPr>
        <w:t>Výzve na predkladanie ponúk</w:t>
      </w:r>
      <w:r w:rsidR="00766D47" w:rsidRPr="009C4FB4">
        <w:rPr>
          <w:rFonts w:asciiTheme="minorHAnsi" w:eastAsiaTheme="minorHAnsi" w:hAnsiTheme="minorHAnsi" w:cstheme="minorHAnsi"/>
          <w:highlight w:val="green"/>
          <w:lang w:val="sk-SK" w:eastAsia="en-US"/>
        </w:rPr>
        <w:t xml:space="preserve"> a v </w:t>
      </w:r>
      <w:r w:rsidR="00766D47" w:rsidRPr="009C4FB4">
        <w:rPr>
          <w:rFonts w:asciiTheme="minorHAnsi" w:eastAsiaTheme="minorHAnsi" w:hAnsiTheme="minorHAnsi" w:cstheme="minorHAnsi"/>
          <w:i/>
          <w:iCs/>
          <w:highlight w:val="green"/>
          <w:lang w:val="sk-SK" w:eastAsia="en-US"/>
        </w:rPr>
        <w:t>Oznámení o oprave</w:t>
      </w:r>
      <w:r w:rsidRPr="009C4FB4">
        <w:rPr>
          <w:rFonts w:asciiTheme="minorHAnsi" w:eastAsiaTheme="minorHAnsi" w:hAnsiTheme="minorHAnsi" w:cstheme="minorHAnsi"/>
          <w:highlight w:val="green"/>
          <w:lang w:val="sk-SK" w:eastAsia="en-US"/>
        </w:rPr>
        <w:t xml:space="preserve"> verejný obstarávateľ uvádza </w:t>
      </w:r>
      <w:r w:rsidR="00766D47" w:rsidRPr="009C4FB4">
        <w:rPr>
          <w:rFonts w:asciiTheme="minorHAnsi" w:eastAsiaTheme="minorHAnsi" w:hAnsiTheme="minorHAnsi" w:cstheme="minorHAnsi"/>
          <w:highlight w:val="green"/>
          <w:lang w:val="sk-SK" w:eastAsia="en-US"/>
        </w:rPr>
        <w:t xml:space="preserve">kompletné znenie podmienok </w:t>
      </w:r>
      <w:r w:rsidR="00766D47" w:rsidRPr="009C4FB4">
        <w:rPr>
          <w:rFonts w:asciiTheme="minorHAnsi" w:eastAsiaTheme="minorHAnsi" w:hAnsiTheme="minorHAnsi" w:cstheme="minorHAnsi"/>
          <w:i/>
          <w:iCs/>
          <w:highlight w:val="green"/>
          <w:lang w:val="sk-SK" w:eastAsia="en-US"/>
        </w:rPr>
        <w:t>Technickej a odbornej spôsobilosti</w:t>
      </w:r>
      <w:r w:rsidRPr="009C4FB4">
        <w:rPr>
          <w:rFonts w:asciiTheme="minorHAnsi" w:eastAsiaTheme="minorHAnsi" w:hAnsiTheme="minorHAnsi" w:cstheme="minorHAnsi"/>
          <w:highlight w:val="green"/>
          <w:lang w:val="sk-SK" w:eastAsia="en-US"/>
        </w:rPr>
        <w:t xml:space="preserve"> v</w:t>
      </w:r>
      <w:r w:rsidR="00766D47" w:rsidRPr="009C4FB4">
        <w:rPr>
          <w:rFonts w:asciiTheme="minorHAnsi" w:eastAsiaTheme="minorHAnsi" w:hAnsiTheme="minorHAnsi" w:cstheme="minorHAnsi"/>
          <w:highlight w:val="green"/>
          <w:lang w:val="sk-SK" w:eastAsia="en-US"/>
        </w:rPr>
        <w:t xml:space="preserve"> tomto bode </w:t>
      </w:r>
      <w:r w:rsidRPr="009C4FB4">
        <w:rPr>
          <w:rFonts w:asciiTheme="minorHAnsi" w:eastAsiaTheme="minorHAnsi" w:hAnsiTheme="minorHAnsi" w:cstheme="minorHAnsi"/>
          <w:highlight w:val="green"/>
          <w:lang w:val="sk-SK" w:eastAsia="en-US"/>
        </w:rPr>
        <w:t>Súťažných podklado</w:t>
      </w:r>
      <w:r w:rsidR="00766D47" w:rsidRPr="009C4FB4">
        <w:rPr>
          <w:rFonts w:asciiTheme="minorHAnsi" w:eastAsiaTheme="minorHAnsi" w:hAnsiTheme="minorHAnsi" w:cstheme="minorHAnsi"/>
          <w:highlight w:val="green"/>
          <w:lang w:val="sk-SK" w:eastAsia="en-US"/>
        </w:rPr>
        <w:t>v:</w:t>
      </w:r>
    </w:p>
    <w:p w14:paraId="1A310A54" w14:textId="77777777" w:rsidR="00766D47" w:rsidRDefault="00766D47" w:rsidP="00766D47">
      <w:pPr>
        <w:widowControl/>
        <w:adjustRightInd w:val="0"/>
        <w:ind w:left="851"/>
        <w:jc w:val="both"/>
        <w:rPr>
          <w:rFonts w:asciiTheme="minorHAnsi" w:eastAsiaTheme="minorHAnsi" w:hAnsiTheme="minorHAnsi" w:cstheme="minorHAnsi"/>
          <w:b/>
          <w:bCs/>
          <w:u w:val="single"/>
          <w:lang w:val="sk-SK" w:eastAsia="en-US"/>
        </w:rPr>
      </w:pPr>
    </w:p>
    <w:p w14:paraId="68A83CDE" w14:textId="6E6720A1" w:rsidR="00766D47" w:rsidRPr="00766D47" w:rsidRDefault="00766D47" w:rsidP="00766D47">
      <w:pPr>
        <w:widowControl/>
        <w:adjustRightInd w:val="0"/>
        <w:ind w:left="851"/>
        <w:jc w:val="both"/>
        <w:rPr>
          <w:rFonts w:asciiTheme="minorHAnsi" w:eastAsiaTheme="minorHAnsi" w:hAnsiTheme="minorHAnsi" w:cstheme="minorHAnsi"/>
          <w:b/>
          <w:bCs/>
          <w:u w:val="single"/>
          <w:lang w:val="sk-SK" w:eastAsia="en-US"/>
        </w:rPr>
      </w:pPr>
      <w:r w:rsidRPr="00766D47">
        <w:rPr>
          <w:rFonts w:asciiTheme="minorHAnsi" w:eastAsiaTheme="minorHAnsi" w:hAnsiTheme="minorHAnsi" w:cstheme="minorHAnsi"/>
          <w:b/>
          <w:bCs/>
          <w:u w:val="single"/>
          <w:lang w:val="sk-SK" w:eastAsia="en-US"/>
        </w:rPr>
        <w:t xml:space="preserve">Zoznam a krátky opis podmienok: </w:t>
      </w:r>
    </w:p>
    <w:p w14:paraId="0B7066B2" w14:textId="300C0A10" w:rsidR="00766D47" w:rsidRPr="00766D47" w:rsidRDefault="00766D47" w:rsidP="00766D47">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b/>
          <w:bCs/>
          <w:lang w:val="sk-SK" w:eastAsia="en-US"/>
        </w:rPr>
        <w:t>1. Podľa § 34 ods. 1 písm. b)</w:t>
      </w:r>
      <w:r w:rsidRPr="00766D47">
        <w:rPr>
          <w:rFonts w:asciiTheme="minorHAnsi" w:eastAsiaTheme="minorHAnsi" w:hAnsiTheme="minorHAnsi" w:cstheme="minorHAnsi"/>
          <w:lang w:val="sk-SK" w:eastAsia="en-US"/>
        </w:rPr>
        <w:t xml:space="preserve"> zoznamom stavebných prác uskutočnených za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predchádzajúcich päť rokov od vyhlásenia verejného obstarávania s uvedením cien, miest a lehôt uskutočnenia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stavebných prác; zoznam musí byť doplnený potvrdením o uspokojivom vykonaní stavebných prác a</w:t>
      </w:r>
      <w:r>
        <w:rPr>
          <w:rFonts w:asciiTheme="minorHAnsi" w:eastAsiaTheme="minorHAnsi" w:hAnsiTheme="minorHAnsi" w:cstheme="minorHAnsi"/>
          <w:lang w:val="sk-SK" w:eastAsia="en-US"/>
        </w:rPr>
        <w:t> </w:t>
      </w:r>
      <w:r w:rsidRPr="00766D47">
        <w:rPr>
          <w:rFonts w:asciiTheme="minorHAnsi" w:eastAsiaTheme="minorHAnsi" w:hAnsiTheme="minorHAnsi" w:cstheme="minorHAnsi"/>
          <w:lang w:val="sk-SK" w:eastAsia="en-US"/>
        </w:rPr>
        <w:t>zhodnotení</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uskutočnených stavebných prác podľa obchodných podmienok, ak odberateľom 1.bol verejný obstarávateľ alebo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obstarávateľ podľa tohto zákona, dokladom je referencia, 2.bola iná osoba ako verejný obstarávateľ alebo obstarávateľ</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podľa tohto zákona, dôkaz o plnení potvrdí odberateľ; ak také potvrdenie uchádzač alebo záujemca nemá k dispozícii,</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vyhlásením uchádzača alebo záujemcu o ich uskutočnení, doplneným dokladom, preukazujúcim ich uskutočnenie alebo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zmluvný vzťah, na základe ktorého boli uskutočnené;</w:t>
      </w:r>
    </w:p>
    <w:p w14:paraId="3FA9D329" w14:textId="14B6CFA9" w:rsidR="00766D47" w:rsidRPr="00766D47" w:rsidRDefault="00766D47" w:rsidP="00766D47">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b/>
          <w:bCs/>
          <w:lang w:val="sk-SK" w:eastAsia="en-US"/>
        </w:rPr>
        <w:t xml:space="preserve">2. Podľa § 34 ods. 1 písm. g) </w:t>
      </w:r>
      <w:r w:rsidRPr="00766D47">
        <w:rPr>
          <w:rFonts w:asciiTheme="minorHAnsi" w:eastAsiaTheme="minorHAnsi" w:hAnsiTheme="minorHAnsi" w:cstheme="minorHAnsi"/>
          <w:lang w:val="sk-SK" w:eastAsia="en-US"/>
        </w:rPr>
        <w:t>ZVO ak ide o stavebné práce alebo služby, údajmi o vzdelaní a odbornej praxi alebo 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odbornej kvalifikácií osôb určených na plnenie zmluvy alebo koncesnej zmluvy alebo riadiacich zamestnancov, ak nie sú</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kritériom na vyhodnotenie ponúk.</w:t>
      </w:r>
    </w:p>
    <w:p w14:paraId="68E9FA4D" w14:textId="32321FE2" w:rsidR="00766D47" w:rsidRDefault="00766D47" w:rsidP="00766D47">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b/>
          <w:bCs/>
          <w:lang w:val="sk-SK" w:eastAsia="en-US"/>
        </w:rPr>
        <w:t>3. Podľa § 34 ods. 1 písm. j):</w:t>
      </w:r>
      <w:r w:rsidRPr="00766D47">
        <w:rPr>
          <w:rFonts w:asciiTheme="minorHAnsi" w:eastAsiaTheme="minorHAnsi" w:hAnsiTheme="minorHAnsi" w:cstheme="minorHAnsi"/>
          <w:lang w:val="sk-SK" w:eastAsia="en-US"/>
        </w:rPr>
        <w:t xml:space="preserve"> údajmi o strojovom, prevádzkovom alebo technickom vybavení, ktoré má uchádzač alebo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záujemca k dispozícií na uskutočnenie stavebných prác.</w:t>
      </w:r>
    </w:p>
    <w:p w14:paraId="4E330237" w14:textId="3538F919" w:rsidR="00766D47" w:rsidRDefault="00766D47" w:rsidP="00766D47">
      <w:pPr>
        <w:pStyle w:val="Default"/>
        <w:numPr>
          <w:ilvl w:val="1"/>
          <w:numId w:val="46"/>
        </w:numPr>
        <w:adjustRightInd/>
        <w:ind w:left="851"/>
        <w:rPr>
          <w:rFonts w:ascii="Calibri" w:hAnsi="Calibri" w:cs="Calibri"/>
          <w:sz w:val="22"/>
          <w:szCs w:val="22"/>
        </w:rPr>
      </w:pPr>
      <w:r>
        <w:rPr>
          <w:rFonts w:ascii="Calibri" w:hAnsi="Calibri" w:cs="Calibri"/>
          <w:b/>
          <w:bCs/>
          <w:sz w:val="22"/>
          <w:szCs w:val="22"/>
        </w:rPr>
        <w:t xml:space="preserve">4. </w:t>
      </w:r>
      <w:r>
        <w:rPr>
          <w:rFonts w:ascii="Calibri" w:hAnsi="Calibri" w:cs="Calibri"/>
          <w:b/>
          <w:bCs/>
          <w:sz w:val="22"/>
          <w:szCs w:val="22"/>
        </w:rPr>
        <w:t xml:space="preserve">Podľa § 34 ods. 1 písm. h) a § 36 </w:t>
      </w:r>
      <w:r>
        <w:rPr>
          <w:rFonts w:ascii="Calibri" w:hAnsi="Calibri" w:cs="Calibri"/>
          <w:sz w:val="22"/>
          <w:szCs w:val="22"/>
        </w:rPr>
        <w:t xml:space="preserve">zákona o verejnom obstarávaní uvedením opatrení environmentálneho manažérstva, ktoré uchádzač alebo záujemca použije pri plnení zmluvy. </w:t>
      </w:r>
    </w:p>
    <w:p w14:paraId="65B900E2" w14:textId="40A6F1D3" w:rsidR="00766D47" w:rsidRDefault="00766D47" w:rsidP="00766D47">
      <w:pPr>
        <w:pStyle w:val="Default"/>
        <w:adjustRightInd/>
        <w:rPr>
          <w:rFonts w:ascii="Calibri" w:hAnsi="Calibri" w:cs="Calibri"/>
          <w:sz w:val="22"/>
          <w:szCs w:val="22"/>
        </w:rPr>
      </w:pPr>
    </w:p>
    <w:p w14:paraId="556AD09A" w14:textId="77777777" w:rsidR="00766D47" w:rsidRPr="00766D47" w:rsidRDefault="00766D47" w:rsidP="00766D47">
      <w:pPr>
        <w:widowControl/>
        <w:adjustRightInd w:val="0"/>
        <w:ind w:left="851"/>
        <w:rPr>
          <w:rFonts w:asciiTheme="minorHAnsi" w:eastAsiaTheme="minorHAnsi" w:hAnsiTheme="minorHAnsi" w:cstheme="minorHAnsi"/>
          <w:b/>
          <w:bCs/>
          <w:u w:val="single"/>
          <w:lang w:val="sk-SK" w:eastAsia="en-US"/>
        </w:rPr>
      </w:pPr>
      <w:r w:rsidRPr="00766D47">
        <w:rPr>
          <w:rFonts w:asciiTheme="minorHAnsi" w:eastAsiaTheme="minorHAnsi" w:hAnsiTheme="minorHAnsi" w:cstheme="minorHAnsi"/>
          <w:b/>
          <w:bCs/>
          <w:u w:val="single"/>
          <w:lang w:val="sk-SK" w:eastAsia="en-US"/>
        </w:rPr>
        <w:t xml:space="preserve">Minimálna požadovaná úroveň štandardov: </w:t>
      </w:r>
    </w:p>
    <w:p w14:paraId="79BC909F" w14:textId="16C66DB1" w:rsidR="00766D47" w:rsidRPr="00766D47" w:rsidRDefault="00766D47" w:rsidP="00766D47">
      <w:pPr>
        <w:widowControl/>
        <w:adjustRightInd w:val="0"/>
        <w:ind w:left="851"/>
        <w:rPr>
          <w:rFonts w:asciiTheme="minorHAnsi" w:eastAsiaTheme="minorHAnsi" w:hAnsiTheme="minorHAnsi" w:cstheme="minorHAnsi"/>
          <w:b/>
          <w:bCs/>
          <w:lang w:val="sk-SK" w:eastAsia="en-US"/>
        </w:rPr>
      </w:pPr>
      <w:r w:rsidRPr="00766D47">
        <w:rPr>
          <w:rFonts w:asciiTheme="minorHAnsi" w:eastAsiaTheme="minorHAnsi" w:hAnsiTheme="minorHAnsi" w:cstheme="minorHAnsi"/>
          <w:b/>
          <w:bCs/>
          <w:lang w:val="sk-SK" w:eastAsia="en-US"/>
        </w:rPr>
        <w:t>1. K § 34 ods. 1 písm. b):</w:t>
      </w:r>
    </w:p>
    <w:p w14:paraId="3A4D6590" w14:textId="14D33EA9" w:rsidR="00766D47" w:rsidRPr="00766D47" w:rsidRDefault="00766D47" w:rsidP="00766D47">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Uchádzač predloží Zoznam uskutočnených stavebných prác za predchádzajúcich päť rokov od vyhlásenia verejného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obstarávania (ďalej aj ,,rozhodné obdobie"), ktorým preukáže, že uskutočnil stavebné práce na predmete rovnakom</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alebo obdobnom ako je predmet zákazky, pričom preukáže, že v rozhodnom období realizoval minimálne 1 zákazku, z</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ktorej bude jasne a určito preukázané, že predmetom boli stavebné práce na rovnakých alebo obdobných stavebných</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 xml:space="preserve">objektoch ako je predmet zákazky (výstavba komunikácií vrátane </w:t>
      </w:r>
      <w:proofErr w:type="spellStart"/>
      <w:r w:rsidRPr="00766D47">
        <w:rPr>
          <w:rFonts w:asciiTheme="minorHAnsi" w:eastAsiaTheme="minorHAnsi" w:hAnsiTheme="minorHAnsi" w:cstheme="minorHAnsi"/>
          <w:lang w:val="sk-SK" w:eastAsia="en-US"/>
        </w:rPr>
        <w:t>pokládky</w:t>
      </w:r>
      <w:proofErr w:type="spellEnd"/>
      <w:r w:rsidRPr="00766D47">
        <w:rPr>
          <w:rFonts w:asciiTheme="minorHAnsi" w:eastAsiaTheme="minorHAnsi" w:hAnsiTheme="minorHAnsi" w:cstheme="minorHAnsi"/>
          <w:lang w:val="sk-SK" w:eastAsia="en-US"/>
        </w:rPr>
        <w:t xml:space="preserve"> asfaltových zmesí) a celková hodnota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stavebných prác na rovnakých alebo obdobných stavebných objektoch bola rovnaká alebo vyššia ako predpokladaná</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hodnota zákazky uvedená v bode II.1.5 tejto Výzvy.</w:t>
      </w:r>
    </w:p>
    <w:p w14:paraId="704CB5A1" w14:textId="443EC13A"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Ak je celková zmluvná cena uvedená v inej mene ako je EUR, je potrebné uviesť cenu v pôvodnej mene,</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cenu v EUR,</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EUR jednotlivých rokov.</w:t>
      </w:r>
    </w:p>
    <w:p w14:paraId="49E0E7E9" w14:textId="77777777" w:rsidR="00766D47" w:rsidRPr="00766D47" w:rsidRDefault="00766D47" w:rsidP="00766D47">
      <w:pPr>
        <w:widowControl/>
        <w:adjustRightInd w:val="0"/>
        <w:ind w:left="851"/>
        <w:rPr>
          <w:rFonts w:asciiTheme="minorHAnsi" w:eastAsiaTheme="minorHAnsi" w:hAnsiTheme="minorHAnsi" w:cstheme="minorHAnsi"/>
          <w:b/>
          <w:bCs/>
          <w:lang w:val="sk-SK" w:eastAsia="en-US"/>
        </w:rPr>
      </w:pPr>
      <w:r w:rsidRPr="00766D47">
        <w:rPr>
          <w:rFonts w:asciiTheme="minorHAnsi" w:eastAsiaTheme="minorHAnsi" w:hAnsiTheme="minorHAnsi" w:cstheme="minorHAnsi"/>
          <w:b/>
          <w:bCs/>
          <w:lang w:val="sk-SK" w:eastAsia="en-US"/>
        </w:rPr>
        <w:t>2. K § 34 ods. 1 písm. g):</w:t>
      </w:r>
    </w:p>
    <w:p w14:paraId="76EE8283" w14:textId="0DBA21E3"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Uchádzač preukáže min. 1 osobu zodpovednú za riadne zhotovenie predmetu zákazky - Stavbyvedúceho, pričom na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preukázanie tejto podmienky účasti predloží doklady:</w:t>
      </w:r>
    </w:p>
    <w:p w14:paraId="5013310E" w14:textId="4A69AA5A"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a) Osvedčenie o vykonaní odbornej skúšky o odbornej spôsobilosti pre výkon činnosti stavbyvedúceho s</w:t>
      </w:r>
      <w:r>
        <w:rPr>
          <w:rFonts w:asciiTheme="minorHAnsi" w:eastAsiaTheme="minorHAnsi" w:hAnsiTheme="minorHAnsi" w:cstheme="minorHAnsi"/>
          <w:lang w:val="sk-SK" w:eastAsia="en-US"/>
        </w:rPr>
        <w:t> </w:t>
      </w:r>
      <w:r w:rsidRPr="00766D47">
        <w:rPr>
          <w:rFonts w:asciiTheme="minorHAnsi" w:eastAsiaTheme="minorHAnsi" w:hAnsiTheme="minorHAnsi" w:cstheme="minorHAnsi"/>
          <w:lang w:val="sk-SK" w:eastAsia="en-US"/>
        </w:rPr>
        <w:t>odborným</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zameraním: Inžinierske stavby s odborným zameraním dopravné stavby vydané Slovenskou komorou stav. inžinierov</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(SKSI), v zmysle zákona Slovenskej republiky č.138/1992 Zb. o autorizovaných architektoch a stavebných inžinieroch v</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znení neskorších predpisov alebo ekvivalentný doklad opatrené pečiatkou a podpisom osoby, ktorej odborná spôsobilosť</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sa preukazuje.</w:t>
      </w:r>
    </w:p>
    <w:p w14:paraId="40ABFA10" w14:textId="222E4E99"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b) Životopis, z ktorého budú zrejmé údaje o odbornej praxi stavbyvedúceho, kde preukáže minimálne 1 skúsenosť na</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pozícii stavbyvedúceho pri realizácii stavebných prác rovnakého alebo podobného charakteru ako je predmet zákazky.</w:t>
      </w:r>
    </w:p>
    <w:p w14:paraId="0CDDF080" w14:textId="0FA407DB"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c) Potvrdenie, že uchádzač má k dispozícii odborne spôsobilú osobu spĺňajúcu stanovené požiadavky vyžadované v</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 xml:space="preserve">zmysle osobitných právnych predpisov (napr. zmluvu v prípade </w:t>
      </w:r>
      <w:proofErr w:type="spellStart"/>
      <w:r w:rsidRPr="00766D47">
        <w:rPr>
          <w:rFonts w:asciiTheme="minorHAnsi" w:eastAsiaTheme="minorHAnsi" w:hAnsiTheme="minorHAnsi" w:cstheme="minorHAnsi"/>
          <w:lang w:val="sk-SK" w:eastAsia="en-US"/>
        </w:rPr>
        <w:t>pracovno</w:t>
      </w:r>
      <w:proofErr w:type="spellEnd"/>
      <w:r w:rsidRPr="00766D47">
        <w:rPr>
          <w:rFonts w:asciiTheme="minorHAnsi" w:eastAsiaTheme="minorHAnsi" w:hAnsiTheme="minorHAnsi" w:cstheme="minorHAnsi"/>
          <w:lang w:val="sk-SK" w:eastAsia="en-US"/>
        </w:rPr>
        <w:t xml:space="preserve"> právneho vzťahu, resp. uzavretú zmluvu o</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budúcej zmluve v prípade SZČO, FO, PO a pod.).</w:t>
      </w:r>
    </w:p>
    <w:p w14:paraId="35AFB4B8" w14:textId="58D0BDD8" w:rsidR="00766D47" w:rsidRPr="00766D47" w:rsidRDefault="00766D47" w:rsidP="009C6123">
      <w:pPr>
        <w:widowControl/>
        <w:adjustRightInd w:val="0"/>
        <w:ind w:left="851"/>
        <w:jc w:val="both"/>
        <w:rPr>
          <w:rFonts w:asciiTheme="minorHAnsi" w:eastAsiaTheme="minorHAnsi" w:hAnsiTheme="minorHAnsi" w:cstheme="minorHAnsi"/>
          <w:lang w:val="sk-SK" w:eastAsia="en-US"/>
        </w:rPr>
      </w:pPr>
      <w:r w:rsidRPr="00766D47">
        <w:rPr>
          <w:rFonts w:asciiTheme="minorHAnsi" w:eastAsiaTheme="minorHAnsi" w:hAnsiTheme="minorHAnsi" w:cstheme="minorHAnsi"/>
          <w:lang w:val="sk-SK" w:eastAsia="en-US"/>
        </w:rPr>
        <w:t>Uchádzač musí mať odborne spôsobilú osobu v zmysle § 34 ods. 1 písm. g) po celý nevyhnutný čas k dispozícii pre</w:t>
      </w:r>
      <w:r>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uskutočnenie stavebných prác na tejto zákazke.</w:t>
      </w:r>
    </w:p>
    <w:p w14:paraId="30B4B782" w14:textId="77777777" w:rsidR="00766D47" w:rsidRPr="00766D47" w:rsidRDefault="00766D47" w:rsidP="00766D47">
      <w:pPr>
        <w:widowControl/>
        <w:adjustRightInd w:val="0"/>
        <w:ind w:left="851"/>
        <w:rPr>
          <w:rFonts w:asciiTheme="minorHAnsi" w:eastAsiaTheme="minorHAnsi" w:hAnsiTheme="minorHAnsi" w:cstheme="minorHAnsi"/>
          <w:b/>
          <w:bCs/>
          <w:lang w:val="sk-SK" w:eastAsia="en-US"/>
        </w:rPr>
      </w:pPr>
      <w:r w:rsidRPr="00766D47">
        <w:rPr>
          <w:rFonts w:asciiTheme="minorHAnsi" w:eastAsiaTheme="minorHAnsi" w:hAnsiTheme="minorHAnsi" w:cstheme="minorHAnsi"/>
          <w:b/>
          <w:bCs/>
          <w:lang w:val="sk-SK" w:eastAsia="en-US"/>
        </w:rPr>
        <w:t>3. K § 34 ods. 1 písm. j):</w:t>
      </w:r>
    </w:p>
    <w:p w14:paraId="5F97F109" w14:textId="799411B3" w:rsidR="00766D47" w:rsidRPr="00212072" w:rsidRDefault="00766D47" w:rsidP="009C6123">
      <w:pPr>
        <w:widowControl/>
        <w:adjustRightInd w:val="0"/>
        <w:ind w:left="851"/>
        <w:jc w:val="both"/>
        <w:rPr>
          <w:rFonts w:asciiTheme="minorHAnsi" w:hAnsiTheme="minorHAnsi" w:cstheme="minorHAnsi"/>
        </w:rPr>
      </w:pPr>
      <w:r w:rsidRPr="00766D47">
        <w:rPr>
          <w:rFonts w:asciiTheme="minorHAnsi" w:eastAsiaTheme="minorHAnsi" w:hAnsiTheme="minorHAnsi" w:cstheme="minorHAnsi"/>
          <w:lang w:val="sk-SK" w:eastAsia="en-US"/>
        </w:rPr>
        <w:t>Uchádzač musí preukázať, že má k dispozícii dostatočné vybavenie strojného a technického charakteru na vykonanie</w:t>
      </w:r>
      <w:r w:rsidR="009C6123">
        <w:rPr>
          <w:rFonts w:asciiTheme="minorHAnsi" w:eastAsiaTheme="minorHAnsi" w:hAnsiTheme="minorHAnsi" w:cstheme="minorHAnsi"/>
          <w:lang w:val="sk-SK" w:eastAsia="en-US"/>
        </w:rPr>
        <w:t xml:space="preserve"> </w:t>
      </w:r>
      <w:r w:rsidRPr="00766D47">
        <w:rPr>
          <w:rFonts w:asciiTheme="minorHAnsi" w:eastAsiaTheme="minorHAnsi" w:hAnsiTheme="minorHAnsi" w:cstheme="minorHAnsi"/>
          <w:lang w:val="sk-SK" w:eastAsia="en-US"/>
        </w:rPr>
        <w:t xml:space="preserve">technického riešenia predmetu zákazky, </w:t>
      </w:r>
      <w:proofErr w:type="spellStart"/>
      <w:r w:rsidRPr="00766D47">
        <w:rPr>
          <w:rFonts w:asciiTheme="minorHAnsi" w:eastAsiaTheme="minorHAnsi" w:hAnsiTheme="minorHAnsi" w:cstheme="minorHAnsi"/>
          <w:lang w:val="sk-SK" w:eastAsia="en-US"/>
        </w:rPr>
        <w:t>t.j</w:t>
      </w:r>
      <w:proofErr w:type="spellEnd"/>
      <w:r w:rsidRPr="00766D47">
        <w:rPr>
          <w:rFonts w:asciiTheme="minorHAnsi" w:eastAsiaTheme="minorHAnsi" w:hAnsiTheme="minorHAnsi" w:cstheme="minorHAnsi"/>
          <w:lang w:val="sk-SK" w:eastAsia="en-US"/>
        </w:rPr>
        <w:t xml:space="preserve">. min. jednu kompletnú živičnú strojnú zostavu </w:t>
      </w:r>
      <w:r w:rsidRPr="00212072">
        <w:rPr>
          <w:rFonts w:asciiTheme="minorHAnsi" w:eastAsiaTheme="minorHAnsi" w:hAnsiTheme="minorHAnsi" w:cstheme="minorHAnsi"/>
          <w:lang w:val="sk-SK" w:eastAsia="en-US"/>
        </w:rPr>
        <w:t>pozostávajúcu z</w:t>
      </w:r>
      <w:r w:rsidR="009C6123" w:rsidRPr="00212072">
        <w:rPr>
          <w:rFonts w:asciiTheme="minorHAnsi" w:eastAsiaTheme="minorHAnsi" w:hAnsiTheme="minorHAnsi" w:cstheme="minorHAnsi"/>
          <w:lang w:val="sk-SK" w:eastAsia="en-US"/>
        </w:rPr>
        <w:t> </w:t>
      </w:r>
      <w:r w:rsidRPr="00212072">
        <w:rPr>
          <w:rFonts w:asciiTheme="minorHAnsi" w:eastAsiaTheme="minorHAnsi" w:hAnsiTheme="minorHAnsi" w:cstheme="minorHAnsi"/>
          <w:lang w:val="sk-SK" w:eastAsia="en-US"/>
        </w:rPr>
        <w:t>cestného</w:t>
      </w:r>
      <w:r w:rsidR="009C6123" w:rsidRPr="00212072">
        <w:rPr>
          <w:rFonts w:asciiTheme="minorHAnsi" w:eastAsiaTheme="minorHAnsi" w:hAnsiTheme="minorHAnsi" w:cstheme="minorHAnsi"/>
          <w:lang w:val="sk-SK" w:eastAsia="en-US"/>
        </w:rPr>
        <w:t xml:space="preserve"> </w:t>
      </w:r>
      <w:proofErr w:type="spellStart"/>
      <w:r w:rsidRPr="00212072">
        <w:rPr>
          <w:rFonts w:asciiTheme="minorHAnsi" w:eastAsiaTheme="minorHAnsi" w:hAnsiTheme="minorHAnsi" w:cstheme="minorHAnsi"/>
          <w:lang w:val="sk-SK" w:eastAsia="en-US"/>
        </w:rPr>
        <w:t>finišera</w:t>
      </w:r>
      <w:proofErr w:type="spellEnd"/>
      <w:r w:rsidRPr="00212072">
        <w:rPr>
          <w:rFonts w:asciiTheme="minorHAnsi" w:eastAsiaTheme="minorHAnsi" w:hAnsiTheme="minorHAnsi" w:cstheme="minorHAnsi"/>
          <w:lang w:val="sk-SK" w:eastAsia="en-US"/>
        </w:rPr>
        <w:t>, 2 ks cestných vibračných valcov a prepravných kapacít pre plynule zabezpečenie asfaltového betónu. Uchádzač</w:t>
      </w:r>
      <w:r w:rsidR="009C6123" w:rsidRPr="00212072">
        <w:rPr>
          <w:rFonts w:asciiTheme="minorHAnsi" w:eastAsiaTheme="minorHAnsi" w:hAnsiTheme="minorHAnsi" w:cstheme="minorHAnsi"/>
          <w:lang w:val="sk-SK" w:eastAsia="en-US"/>
        </w:rPr>
        <w:t xml:space="preserve"> </w:t>
      </w:r>
      <w:r w:rsidRPr="00212072">
        <w:rPr>
          <w:rFonts w:asciiTheme="minorHAnsi" w:eastAsiaTheme="minorHAnsi" w:hAnsiTheme="minorHAnsi" w:cstheme="minorHAnsi"/>
          <w:lang w:val="sk-SK" w:eastAsia="en-US"/>
        </w:rPr>
        <w:t>uvedené preukáže predložením napr. technického preukazu, dokladom preukazujúcim nadobudnutie majetkových práv k</w:t>
      </w:r>
      <w:r w:rsidR="009C6123" w:rsidRPr="00212072">
        <w:rPr>
          <w:rFonts w:asciiTheme="minorHAnsi" w:eastAsiaTheme="minorHAnsi" w:hAnsiTheme="minorHAnsi" w:cstheme="minorHAnsi"/>
          <w:lang w:val="sk-SK" w:eastAsia="en-US"/>
        </w:rPr>
        <w:t xml:space="preserve"> </w:t>
      </w:r>
      <w:r w:rsidRPr="00212072">
        <w:rPr>
          <w:rFonts w:asciiTheme="minorHAnsi" w:eastAsiaTheme="minorHAnsi" w:hAnsiTheme="minorHAnsi" w:cstheme="minorHAnsi"/>
          <w:lang w:val="sk-SK" w:eastAsia="en-US"/>
        </w:rPr>
        <w:t>týmto strojom, kúpnou zmluvou/faktúrou, nájomnou zmluvou alebo zmluvou o budúcej zmluve k</w:t>
      </w:r>
      <w:r w:rsidR="009C6123" w:rsidRPr="00212072">
        <w:rPr>
          <w:rFonts w:asciiTheme="minorHAnsi" w:eastAsiaTheme="minorHAnsi" w:hAnsiTheme="minorHAnsi" w:cstheme="minorHAnsi"/>
          <w:lang w:val="sk-SK" w:eastAsia="en-US"/>
        </w:rPr>
        <w:t> </w:t>
      </w:r>
      <w:r w:rsidRPr="00212072">
        <w:rPr>
          <w:rFonts w:asciiTheme="minorHAnsi" w:eastAsiaTheme="minorHAnsi" w:hAnsiTheme="minorHAnsi" w:cstheme="minorHAnsi"/>
          <w:lang w:val="sk-SK" w:eastAsia="en-US"/>
        </w:rPr>
        <w:t>poskytnutiu</w:t>
      </w:r>
      <w:r w:rsidR="009C6123" w:rsidRPr="00212072">
        <w:rPr>
          <w:rFonts w:asciiTheme="minorHAnsi" w:eastAsiaTheme="minorHAnsi" w:hAnsiTheme="minorHAnsi" w:cstheme="minorHAnsi"/>
          <w:lang w:val="sk-SK" w:eastAsia="en-US"/>
        </w:rPr>
        <w:t xml:space="preserve"> </w:t>
      </w:r>
      <w:r w:rsidRPr="00212072">
        <w:rPr>
          <w:rFonts w:asciiTheme="minorHAnsi" w:eastAsiaTheme="minorHAnsi" w:hAnsiTheme="minorHAnsi" w:cstheme="minorHAnsi"/>
          <w:lang w:val="sk-SK" w:eastAsia="en-US"/>
        </w:rPr>
        <w:t>prostriedkov k realizácii zákazky.</w:t>
      </w:r>
    </w:p>
    <w:p w14:paraId="0DAD33C3" w14:textId="407B8D32" w:rsidR="009C6123" w:rsidRPr="00212072" w:rsidRDefault="009C6123" w:rsidP="009C6123">
      <w:pPr>
        <w:pStyle w:val="Default"/>
        <w:ind w:left="860"/>
        <w:rPr>
          <w:rFonts w:asciiTheme="minorHAnsi" w:hAnsiTheme="minorHAnsi" w:cstheme="minorHAnsi"/>
          <w:sz w:val="22"/>
          <w:szCs w:val="22"/>
        </w:rPr>
      </w:pPr>
      <w:r w:rsidRPr="00212072">
        <w:rPr>
          <w:rFonts w:asciiTheme="minorHAnsi" w:hAnsiTheme="minorHAnsi" w:cstheme="minorHAnsi"/>
          <w:b/>
          <w:bCs/>
          <w:sz w:val="22"/>
          <w:szCs w:val="22"/>
        </w:rPr>
        <w:t xml:space="preserve">4. </w:t>
      </w:r>
      <w:r w:rsidR="00766D47" w:rsidRPr="00212072">
        <w:rPr>
          <w:rFonts w:asciiTheme="minorHAnsi" w:hAnsiTheme="minorHAnsi" w:cstheme="minorHAnsi"/>
          <w:b/>
          <w:bCs/>
          <w:sz w:val="22"/>
          <w:szCs w:val="22"/>
        </w:rPr>
        <w:t>K § 34 ods. 1 písm. h) a § 36:</w:t>
      </w:r>
      <w:r w:rsidR="00766D47" w:rsidRPr="00212072">
        <w:rPr>
          <w:rFonts w:asciiTheme="minorHAnsi" w:hAnsiTheme="minorHAnsi" w:cstheme="minorHAnsi"/>
          <w:sz w:val="22"/>
          <w:szCs w:val="22"/>
        </w:rPr>
        <w:t xml:space="preserve"> </w:t>
      </w:r>
    </w:p>
    <w:p w14:paraId="0A5D3B0D" w14:textId="400B5448" w:rsidR="00766D47" w:rsidRPr="00212072" w:rsidRDefault="00766D47" w:rsidP="009C6123">
      <w:pPr>
        <w:pStyle w:val="Default"/>
        <w:ind w:left="860"/>
        <w:jc w:val="both"/>
        <w:rPr>
          <w:rFonts w:asciiTheme="minorHAnsi" w:hAnsiTheme="minorHAnsi" w:cstheme="minorHAnsi"/>
          <w:sz w:val="22"/>
          <w:szCs w:val="22"/>
        </w:rPr>
      </w:pPr>
      <w:r w:rsidRPr="00212072">
        <w:rPr>
          <w:rFonts w:asciiTheme="minorHAnsi" w:hAnsiTheme="minorHAnsi" w:cstheme="minorHAnsi"/>
          <w:sz w:val="22"/>
          <w:szCs w:val="22"/>
        </w:rPr>
        <w:t>Certifikát EMAS, resp. registrácia v schéme EMAS, prípadne validované environmentálne vyhlásenie alebo iný rovnocenný dôkaz.</w:t>
      </w:r>
    </w:p>
    <w:p w14:paraId="35AF19B2" w14:textId="77777777" w:rsidR="00766D47" w:rsidRDefault="00766D47" w:rsidP="009C6123">
      <w:pPr>
        <w:pStyle w:val="Default"/>
        <w:ind w:left="860"/>
        <w:jc w:val="both"/>
        <w:rPr>
          <w:rFonts w:ascii="Calibri" w:hAnsi="Calibri" w:cs="Calibri"/>
          <w:sz w:val="22"/>
          <w:szCs w:val="22"/>
        </w:rPr>
      </w:pPr>
      <w:r>
        <w:rPr>
          <w:rFonts w:ascii="Calibri" w:hAnsi="Calibri" w:cs="Calibri"/>
          <w:sz w:val="22"/>
          <w:szCs w:val="22"/>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19798F71" w14:textId="77777777" w:rsidR="00766D47" w:rsidRDefault="00766D47" w:rsidP="009C6123">
      <w:pPr>
        <w:pStyle w:val="Default"/>
        <w:ind w:left="860"/>
        <w:jc w:val="both"/>
        <w:rPr>
          <w:rFonts w:ascii="Calibri" w:hAnsi="Calibri" w:cs="Calibri"/>
          <w:color w:val="auto"/>
          <w:sz w:val="22"/>
          <w:szCs w:val="22"/>
        </w:rPr>
      </w:pPr>
      <w:r>
        <w:rPr>
          <w:rFonts w:ascii="Calibri" w:hAnsi="Calibri" w:cs="Calibri"/>
          <w:sz w:val="22"/>
          <w:szCs w:val="22"/>
        </w:rPr>
        <w:t xml:space="preserve">Splnenie tejto podmienky účasti možno preukázať registráciou v schéme EMAS, prípadne validovaným environmentálnym vyhlásením alebo inými rovnocennými dôkazmi, dôkazmi preukazujúcimi rovnocennosť </w:t>
      </w:r>
      <w:r>
        <w:rPr>
          <w:rFonts w:ascii="Calibri" w:hAnsi="Calibri" w:cs="Calibri"/>
          <w:color w:val="auto"/>
          <w:sz w:val="22"/>
          <w:szCs w:val="22"/>
        </w:rPr>
        <w:t xml:space="preserve">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1629F6A8" w14:textId="77777777" w:rsidR="00766D47" w:rsidRDefault="00766D47" w:rsidP="00766D47">
      <w:pPr>
        <w:pStyle w:val="Default"/>
        <w:adjustRightInd/>
        <w:rPr>
          <w:rFonts w:ascii="Calibri" w:hAnsi="Calibri" w:cs="Calibri"/>
          <w:sz w:val="22"/>
          <w:szCs w:val="22"/>
        </w:rPr>
      </w:pPr>
    </w:p>
    <w:p w14:paraId="47FDF7DE" w14:textId="77777777" w:rsidR="00766D47" w:rsidRPr="00766D47" w:rsidRDefault="00766D47" w:rsidP="00766D47">
      <w:pPr>
        <w:widowControl/>
        <w:adjustRightInd w:val="0"/>
        <w:ind w:left="851"/>
        <w:jc w:val="both"/>
        <w:rPr>
          <w:rFonts w:asciiTheme="minorHAnsi" w:eastAsiaTheme="minorHAnsi" w:hAnsiTheme="minorHAnsi" w:cstheme="minorHAnsi"/>
          <w:lang w:val="sk-SK" w:eastAsia="en-US"/>
        </w:rPr>
      </w:pPr>
    </w:p>
    <w:p w14:paraId="37C17E8D" w14:textId="77777777" w:rsidR="00766D47" w:rsidRPr="00766D47" w:rsidRDefault="00766D47" w:rsidP="00766D47">
      <w:pPr>
        <w:pStyle w:val="Odsekzoznamu"/>
        <w:widowControl/>
        <w:adjustRightInd w:val="0"/>
        <w:ind w:left="851" w:firstLine="9"/>
        <w:jc w:val="both"/>
        <w:rPr>
          <w:rFonts w:asciiTheme="minorHAnsi" w:hAnsiTheme="minorHAnsi" w:cstheme="minorHAnsi"/>
          <w:b/>
          <w:bCs/>
          <w:color w:val="808080"/>
        </w:rPr>
      </w:pPr>
    </w:p>
    <w:p w14:paraId="473F251D" w14:textId="77777777" w:rsidR="00D72B56" w:rsidRDefault="00D72B56" w:rsidP="008521C9">
      <w:pPr>
        <w:pStyle w:val="Nadpis1"/>
        <w:jc w:val="right"/>
        <w:rPr>
          <w:rFonts w:asciiTheme="minorHAnsi" w:hAnsiTheme="minorHAnsi" w:cstheme="minorHAnsi"/>
          <w:color w:val="808080"/>
          <w:sz w:val="22"/>
          <w:szCs w:val="22"/>
        </w:rPr>
      </w:pPr>
    </w:p>
    <w:p w14:paraId="1F06AE1E" w14:textId="5E527795" w:rsidR="00D72B56" w:rsidRDefault="00D72B56" w:rsidP="008521C9">
      <w:pPr>
        <w:pStyle w:val="Nadpis1"/>
        <w:jc w:val="right"/>
        <w:rPr>
          <w:rFonts w:asciiTheme="minorHAnsi" w:hAnsiTheme="minorHAnsi" w:cstheme="minorHAnsi"/>
          <w:color w:val="808080"/>
          <w:sz w:val="22"/>
          <w:szCs w:val="22"/>
        </w:rPr>
      </w:pPr>
    </w:p>
    <w:p w14:paraId="1CC2824C" w14:textId="6D0D580D" w:rsidR="00D72B56" w:rsidRDefault="00D72B56" w:rsidP="008521C9">
      <w:pPr>
        <w:pStyle w:val="Nadpis1"/>
        <w:jc w:val="right"/>
        <w:rPr>
          <w:rFonts w:asciiTheme="minorHAnsi" w:hAnsiTheme="minorHAnsi" w:cstheme="minorHAnsi"/>
          <w:color w:val="808080"/>
          <w:sz w:val="22"/>
          <w:szCs w:val="22"/>
        </w:rPr>
      </w:pPr>
    </w:p>
    <w:p w14:paraId="33F7DEA3" w14:textId="2DEED200" w:rsidR="00D72B56" w:rsidRDefault="00D72B56" w:rsidP="008521C9">
      <w:pPr>
        <w:pStyle w:val="Nadpis1"/>
        <w:jc w:val="right"/>
        <w:rPr>
          <w:rFonts w:asciiTheme="minorHAnsi" w:hAnsiTheme="minorHAnsi" w:cstheme="minorHAnsi"/>
          <w:color w:val="808080"/>
          <w:sz w:val="22"/>
          <w:szCs w:val="22"/>
        </w:rPr>
      </w:pPr>
    </w:p>
    <w:p w14:paraId="3DFB0EB6" w14:textId="6370253F" w:rsidR="0000492E" w:rsidRDefault="0000492E" w:rsidP="008521C9">
      <w:pPr>
        <w:pStyle w:val="Nadpis1"/>
        <w:jc w:val="right"/>
        <w:rPr>
          <w:rFonts w:asciiTheme="minorHAnsi" w:hAnsiTheme="minorHAnsi" w:cstheme="minorHAnsi"/>
          <w:color w:val="808080"/>
          <w:sz w:val="22"/>
          <w:szCs w:val="22"/>
        </w:rPr>
      </w:pPr>
    </w:p>
    <w:p w14:paraId="6051C684" w14:textId="3C398D9F" w:rsidR="0000492E" w:rsidRDefault="0000492E" w:rsidP="008521C9">
      <w:pPr>
        <w:pStyle w:val="Nadpis1"/>
        <w:jc w:val="right"/>
        <w:rPr>
          <w:rFonts w:asciiTheme="minorHAnsi" w:hAnsiTheme="minorHAnsi" w:cstheme="minorHAnsi"/>
          <w:color w:val="808080"/>
          <w:sz w:val="22"/>
          <w:szCs w:val="22"/>
        </w:rPr>
      </w:pPr>
    </w:p>
    <w:p w14:paraId="06FAD42C" w14:textId="5FAA536E" w:rsidR="0000492E" w:rsidRDefault="0000492E" w:rsidP="008521C9">
      <w:pPr>
        <w:pStyle w:val="Nadpis1"/>
        <w:jc w:val="right"/>
        <w:rPr>
          <w:rFonts w:asciiTheme="minorHAnsi" w:hAnsiTheme="minorHAnsi" w:cstheme="minorHAnsi"/>
          <w:color w:val="808080"/>
          <w:sz w:val="22"/>
          <w:szCs w:val="22"/>
        </w:rPr>
      </w:pPr>
    </w:p>
    <w:p w14:paraId="244F8CB0" w14:textId="1AD4FABB" w:rsidR="0000492E" w:rsidRDefault="0000492E" w:rsidP="008521C9">
      <w:pPr>
        <w:pStyle w:val="Nadpis1"/>
        <w:jc w:val="right"/>
        <w:rPr>
          <w:rFonts w:asciiTheme="minorHAnsi" w:hAnsiTheme="minorHAnsi" w:cstheme="minorHAnsi"/>
          <w:color w:val="808080"/>
          <w:sz w:val="22"/>
          <w:szCs w:val="22"/>
        </w:rPr>
      </w:pPr>
    </w:p>
    <w:p w14:paraId="77A393A6" w14:textId="59643E97" w:rsidR="0000492E" w:rsidRDefault="0000492E" w:rsidP="008521C9">
      <w:pPr>
        <w:pStyle w:val="Nadpis1"/>
        <w:jc w:val="right"/>
        <w:rPr>
          <w:rFonts w:asciiTheme="minorHAnsi" w:hAnsiTheme="minorHAnsi" w:cstheme="minorHAnsi"/>
          <w:color w:val="808080"/>
          <w:sz w:val="22"/>
          <w:szCs w:val="22"/>
        </w:rPr>
      </w:pPr>
    </w:p>
    <w:p w14:paraId="75C20749" w14:textId="2F9E72F5" w:rsidR="0000492E" w:rsidRDefault="0000492E" w:rsidP="008521C9">
      <w:pPr>
        <w:pStyle w:val="Nadpis1"/>
        <w:jc w:val="right"/>
        <w:rPr>
          <w:rFonts w:asciiTheme="minorHAnsi" w:hAnsiTheme="minorHAnsi" w:cstheme="minorHAnsi"/>
          <w:color w:val="808080"/>
          <w:sz w:val="22"/>
          <w:szCs w:val="22"/>
        </w:rPr>
      </w:pPr>
    </w:p>
    <w:p w14:paraId="6CACE928" w14:textId="4079A0A9" w:rsidR="0000492E" w:rsidRDefault="0000492E" w:rsidP="008521C9">
      <w:pPr>
        <w:pStyle w:val="Nadpis1"/>
        <w:jc w:val="right"/>
        <w:rPr>
          <w:rFonts w:asciiTheme="minorHAnsi" w:hAnsiTheme="minorHAnsi" w:cstheme="minorHAnsi"/>
          <w:color w:val="808080"/>
          <w:sz w:val="22"/>
          <w:szCs w:val="22"/>
        </w:rPr>
      </w:pPr>
    </w:p>
    <w:p w14:paraId="15155A6D" w14:textId="6F3AB1B4" w:rsidR="0000492E" w:rsidRDefault="0000492E" w:rsidP="008521C9">
      <w:pPr>
        <w:pStyle w:val="Nadpis1"/>
        <w:jc w:val="right"/>
        <w:rPr>
          <w:rFonts w:asciiTheme="minorHAnsi" w:hAnsiTheme="minorHAnsi" w:cstheme="minorHAnsi"/>
          <w:color w:val="808080"/>
          <w:sz w:val="22"/>
          <w:szCs w:val="22"/>
        </w:rPr>
      </w:pPr>
    </w:p>
    <w:p w14:paraId="39C049BE" w14:textId="20D9C189" w:rsidR="0000492E" w:rsidRDefault="0000492E" w:rsidP="008521C9">
      <w:pPr>
        <w:pStyle w:val="Nadpis1"/>
        <w:jc w:val="right"/>
        <w:rPr>
          <w:rFonts w:asciiTheme="minorHAnsi" w:hAnsiTheme="minorHAnsi" w:cstheme="minorHAnsi"/>
          <w:color w:val="808080"/>
          <w:sz w:val="22"/>
          <w:szCs w:val="22"/>
        </w:rPr>
      </w:pPr>
    </w:p>
    <w:p w14:paraId="5CE2717F" w14:textId="7628EEF9" w:rsidR="0000492E" w:rsidRDefault="0000492E" w:rsidP="008521C9">
      <w:pPr>
        <w:pStyle w:val="Nadpis1"/>
        <w:jc w:val="right"/>
        <w:rPr>
          <w:rFonts w:asciiTheme="minorHAnsi" w:hAnsiTheme="minorHAnsi" w:cstheme="minorHAnsi"/>
          <w:color w:val="808080"/>
          <w:sz w:val="22"/>
          <w:szCs w:val="22"/>
        </w:rPr>
      </w:pPr>
    </w:p>
    <w:p w14:paraId="1B64BE7F" w14:textId="02ECC151" w:rsidR="0000492E" w:rsidRDefault="0000492E" w:rsidP="008521C9">
      <w:pPr>
        <w:pStyle w:val="Nadpis1"/>
        <w:jc w:val="right"/>
        <w:rPr>
          <w:rFonts w:asciiTheme="minorHAnsi" w:hAnsiTheme="minorHAnsi" w:cstheme="minorHAnsi"/>
          <w:color w:val="808080"/>
          <w:sz w:val="22"/>
          <w:szCs w:val="22"/>
        </w:rPr>
      </w:pPr>
    </w:p>
    <w:p w14:paraId="4FC0F639" w14:textId="77777777" w:rsidR="0000492E" w:rsidRDefault="0000492E" w:rsidP="008521C9">
      <w:pPr>
        <w:pStyle w:val="Nadpis1"/>
        <w:jc w:val="right"/>
        <w:rPr>
          <w:rFonts w:asciiTheme="minorHAnsi" w:hAnsiTheme="minorHAnsi" w:cstheme="minorHAnsi"/>
          <w:color w:val="808080"/>
          <w:sz w:val="22"/>
          <w:szCs w:val="22"/>
        </w:rPr>
      </w:pPr>
    </w:p>
    <w:p w14:paraId="6EA703C1" w14:textId="184802DE" w:rsidR="00D72B56" w:rsidRDefault="00D72B56" w:rsidP="008521C9">
      <w:pPr>
        <w:pStyle w:val="Nadpis1"/>
        <w:jc w:val="right"/>
        <w:rPr>
          <w:rFonts w:asciiTheme="minorHAnsi" w:hAnsiTheme="minorHAnsi" w:cstheme="minorHAnsi"/>
          <w:color w:val="808080"/>
          <w:sz w:val="22"/>
          <w:szCs w:val="22"/>
        </w:rPr>
      </w:pPr>
    </w:p>
    <w:p w14:paraId="1DA2CCF3" w14:textId="099D5900" w:rsidR="00D72B56" w:rsidRDefault="00D72B56"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65B10249"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371E55">
        <w:rPr>
          <w:rFonts w:asciiTheme="minorHAnsi" w:hAnsiTheme="minorHAnsi" w:cstheme="minorHAnsi"/>
          <w:sz w:val="22"/>
          <w:szCs w:val="22"/>
        </w:rPr>
        <w:t>bez</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7EEA58FA" w14:textId="77777777" w:rsidR="00356E08" w:rsidRPr="00356E08" w:rsidRDefault="00356E08" w:rsidP="00356E08">
      <w:pPr>
        <w:widowControl/>
        <w:adjustRightInd w:val="0"/>
        <w:ind w:left="284"/>
        <w:rPr>
          <w:rFonts w:asciiTheme="minorHAnsi" w:eastAsiaTheme="minorHAnsi" w:hAnsiTheme="minorHAnsi" w:cstheme="minorHAnsi"/>
          <w:lang w:val="sk-SK" w:eastAsia="en-US"/>
        </w:rPr>
      </w:pPr>
      <w:r w:rsidRPr="00356E08">
        <w:rPr>
          <w:rFonts w:asciiTheme="minorHAnsi" w:eastAsiaTheme="minorHAnsi" w:hAnsiTheme="minorHAnsi" w:cstheme="minorHAnsi"/>
          <w:lang w:val="sk-SK" w:eastAsia="en-US"/>
        </w:rPr>
        <w:t>Predmetom obstarávania je rekonštrukcia komunikácie a chodníkov a dobudovanie novej komunikácie.</w:t>
      </w:r>
    </w:p>
    <w:p w14:paraId="7F00F24C" w14:textId="506E8C0B" w:rsidR="00356E08" w:rsidRPr="00356E08" w:rsidRDefault="00356E08" w:rsidP="00356E08">
      <w:pPr>
        <w:widowControl/>
        <w:adjustRightInd w:val="0"/>
        <w:ind w:left="284"/>
        <w:rPr>
          <w:rFonts w:asciiTheme="minorHAnsi" w:eastAsiaTheme="minorHAnsi" w:hAnsiTheme="minorHAnsi" w:cstheme="minorHAnsi"/>
          <w:lang w:val="sk-SK" w:eastAsia="en-US"/>
        </w:rPr>
      </w:pPr>
      <w:r w:rsidRPr="00356E08">
        <w:rPr>
          <w:rFonts w:asciiTheme="minorHAnsi" w:eastAsiaTheme="minorHAnsi" w:hAnsiTheme="minorHAnsi" w:cstheme="minorHAnsi"/>
          <w:lang w:val="sk-SK" w:eastAsia="en-US"/>
        </w:rPr>
        <w:t>V súvislosti s rokmi narušeným a opotrebovaným stavom miestnej komunikácie ul. Cintorínska v miestnej časti Čemerné</w:t>
      </w:r>
      <w:r>
        <w:rPr>
          <w:rFonts w:asciiTheme="minorHAnsi" w:eastAsiaTheme="minorHAnsi" w:hAnsiTheme="minorHAnsi" w:cstheme="minorHAnsi"/>
          <w:lang w:val="sk-SK" w:eastAsia="en-US"/>
        </w:rPr>
        <w:t xml:space="preserve"> </w:t>
      </w:r>
      <w:r w:rsidRPr="00356E08">
        <w:rPr>
          <w:rFonts w:asciiTheme="minorHAnsi" w:eastAsiaTheme="minorHAnsi" w:hAnsiTheme="minorHAnsi" w:cstheme="minorHAnsi"/>
          <w:lang w:val="sk-SK" w:eastAsia="en-US"/>
        </w:rPr>
        <w:t>je potrebná jej rekonštrukcia. Týka sa to samotnej miestnej komunikácie aj chodníkov, ktoré sú situované iba v</w:t>
      </w:r>
      <w:r>
        <w:rPr>
          <w:rFonts w:asciiTheme="minorHAnsi" w:eastAsiaTheme="minorHAnsi" w:hAnsiTheme="minorHAnsi" w:cstheme="minorHAnsi"/>
          <w:lang w:val="sk-SK" w:eastAsia="en-US"/>
        </w:rPr>
        <w:t> </w:t>
      </w:r>
      <w:r w:rsidRPr="00356E08">
        <w:rPr>
          <w:rFonts w:asciiTheme="minorHAnsi" w:eastAsiaTheme="minorHAnsi" w:hAnsiTheme="minorHAnsi" w:cstheme="minorHAnsi"/>
          <w:lang w:val="sk-SK" w:eastAsia="en-US"/>
        </w:rPr>
        <w:t>koncovej</w:t>
      </w:r>
      <w:r>
        <w:rPr>
          <w:rFonts w:asciiTheme="minorHAnsi" w:eastAsiaTheme="minorHAnsi" w:hAnsiTheme="minorHAnsi" w:cstheme="minorHAnsi"/>
          <w:lang w:val="sk-SK" w:eastAsia="en-US"/>
        </w:rPr>
        <w:t xml:space="preserve"> </w:t>
      </w:r>
      <w:r w:rsidRPr="00356E08">
        <w:rPr>
          <w:rFonts w:asciiTheme="minorHAnsi" w:eastAsiaTheme="minorHAnsi" w:hAnsiTheme="minorHAnsi" w:cstheme="minorHAnsi"/>
          <w:lang w:val="sk-SK" w:eastAsia="en-US"/>
        </w:rPr>
        <w:t>časti ulice Cintorínskej.</w:t>
      </w:r>
    </w:p>
    <w:p w14:paraId="0898281B" w14:textId="4E2835C7" w:rsidR="00356E08" w:rsidRPr="00356E08" w:rsidRDefault="00356E08" w:rsidP="00356E08">
      <w:pPr>
        <w:widowControl/>
        <w:adjustRightInd w:val="0"/>
        <w:ind w:left="284"/>
        <w:rPr>
          <w:rFonts w:asciiTheme="minorHAnsi" w:eastAsiaTheme="minorHAnsi" w:hAnsiTheme="minorHAnsi" w:cstheme="minorHAnsi"/>
          <w:lang w:val="sk-SK" w:eastAsia="en-US"/>
        </w:rPr>
      </w:pPr>
      <w:r w:rsidRPr="00356E08">
        <w:rPr>
          <w:rFonts w:asciiTheme="minorHAnsi" w:eastAsiaTheme="minorHAnsi" w:hAnsiTheme="minorHAnsi" w:cstheme="minorHAnsi"/>
          <w:lang w:val="sk-SK" w:eastAsia="en-US"/>
        </w:rPr>
        <w:t xml:space="preserve">Zároveň je nutný v koncovej časti ul. Cintorínskej aj návrh novej miestnej komunikácie, ktorá zabezpečí </w:t>
      </w:r>
      <w:proofErr w:type="spellStart"/>
      <w:r w:rsidRPr="00356E08">
        <w:rPr>
          <w:rFonts w:asciiTheme="minorHAnsi" w:eastAsiaTheme="minorHAnsi" w:hAnsiTheme="minorHAnsi" w:cstheme="minorHAnsi"/>
          <w:lang w:val="sk-SK" w:eastAsia="en-US"/>
        </w:rPr>
        <w:t>zaokruhovanie</w:t>
      </w:r>
      <w:proofErr w:type="spellEnd"/>
      <w:r>
        <w:rPr>
          <w:rFonts w:asciiTheme="minorHAnsi" w:eastAsiaTheme="minorHAnsi" w:hAnsiTheme="minorHAnsi" w:cstheme="minorHAnsi"/>
          <w:lang w:val="sk-SK" w:eastAsia="en-US"/>
        </w:rPr>
        <w:t xml:space="preserve"> </w:t>
      </w:r>
      <w:r w:rsidRPr="00356E08">
        <w:rPr>
          <w:rFonts w:asciiTheme="minorHAnsi" w:eastAsiaTheme="minorHAnsi" w:hAnsiTheme="minorHAnsi" w:cstheme="minorHAnsi"/>
          <w:lang w:val="sk-SK" w:eastAsia="en-US"/>
        </w:rPr>
        <w:t>dvoch vedľajších vetiev ul. Cintorínskej.</w:t>
      </w:r>
    </w:p>
    <w:p w14:paraId="316C833C" w14:textId="658B1182" w:rsidR="00E83723" w:rsidRPr="00356E08" w:rsidRDefault="00356E08" w:rsidP="00356E08">
      <w:pPr>
        <w:widowControl/>
        <w:adjustRightInd w:val="0"/>
        <w:ind w:left="284"/>
        <w:rPr>
          <w:rFonts w:asciiTheme="minorHAnsi" w:hAnsiTheme="minorHAnsi" w:cstheme="minorHAnsi"/>
          <w:bCs/>
          <w:iCs/>
        </w:rPr>
      </w:pPr>
      <w:proofErr w:type="spellStart"/>
      <w:r w:rsidRPr="00356E08">
        <w:rPr>
          <w:rFonts w:asciiTheme="minorHAnsi" w:eastAsiaTheme="minorHAnsi" w:hAnsiTheme="minorHAnsi" w:cstheme="minorHAnsi"/>
          <w:lang w:val="sk-SK" w:eastAsia="en-US"/>
        </w:rPr>
        <w:t>Zaokruhovanie</w:t>
      </w:r>
      <w:proofErr w:type="spellEnd"/>
      <w:r w:rsidRPr="00356E08">
        <w:rPr>
          <w:rFonts w:asciiTheme="minorHAnsi" w:eastAsiaTheme="minorHAnsi" w:hAnsiTheme="minorHAnsi" w:cstheme="minorHAnsi"/>
          <w:lang w:val="sk-SK" w:eastAsia="en-US"/>
        </w:rPr>
        <w:t xml:space="preserve"> - spojnica medzi dvoma súčasnými slepými komunikáciami- je nevyhnutné najmä z hľadiska nutnosti</w:t>
      </w:r>
      <w:r>
        <w:rPr>
          <w:rFonts w:asciiTheme="minorHAnsi" w:eastAsiaTheme="minorHAnsi" w:hAnsiTheme="minorHAnsi" w:cstheme="minorHAnsi"/>
          <w:lang w:val="sk-SK" w:eastAsia="en-US"/>
        </w:rPr>
        <w:t xml:space="preserve"> </w:t>
      </w:r>
      <w:r w:rsidRPr="00356E08">
        <w:rPr>
          <w:rFonts w:asciiTheme="minorHAnsi" w:eastAsiaTheme="minorHAnsi" w:hAnsiTheme="minorHAnsi" w:cstheme="minorHAnsi"/>
          <w:lang w:val="sk-SK" w:eastAsia="en-US"/>
        </w:rPr>
        <w:t>zvýšiť bezpečnosť dopravy v tejto lokalite.</w:t>
      </w: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7D80FD9E" w14:textId="588E8DC2" w:rsidR="00356E08" w:rsidRDefault="00356E08" w:rsidP="00AE6817">
      <w:pPr>
        <w:pStyle w:val="Nadpis1"/>
        <w:spacing w:before="72"/>
        <w:ind w:left="284"/>
        <w:jc w:val="both"/>
        <w:rPr>
          <w:rFonts w:asciiTheme="minorHAnsi" w:hAnsiTheme="minorHAnsi" w:cstheme="minorHAnsi"/>
          <w:color w:val="808080"/>
          <w:sz w:val="22"/>
          <w:szCs w:val="22"/>
        </w:rPr>
      </w:pPr>
    </w:p>
    <w:p w14:paraId="6FE132F3" w14:textId="2D6C8E90" w:rsidR="00356E08" w:rsidRDefault="00356E08" w:rsidP="00AE6817">
      <w:pPr>
        <w:pStyle w:val="Nadpis1"/>
        <w:spacing w:before="72"/>
        <w:ind w:left="284"/>
        <w:jc w:val="both"/>
        <w:rPr>
          <w:rFonts w:asciiTheme="minorHAnsi" w:hAnsiTheme="minorHAnsi" w:cstheme="minorHAnsi"/>
          <w:color w:val="808080"/>
          <w:sz w:val="22"/>
          <w:szCs w:val="22"/>
        </w:rPr>
      </w:pPr>
    </w:p>
    <w:p w14:paraId="38A5EE93" w14:textId="77777777" w:rsidR="00356E08" w:rsidRPr="00AE6817" w:rsidRDefault="00356E08"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C3BAEF0"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EE07F4">
        <w:rPr>
          <w:rFonts w:cstheme="minorHAnsi"/>
          <w:b/>
          <w:bCs/>
          <w:i/>
          <w:iCs/>
        </w:rPr>
        <w:t xml:space="preserve">: </w:t>
      </w:r>
      <w:r w:rsidR="004A4B00" w:rsidRPr="00EE07F4">
        <w:rPr>
          <w:rFonts w:cstheme="minorHAnsi"/>
          <w:b/>
          <w:bCs/>
          <w:i/>
          <w:iCs/>
          <w:sz w:val="20"/>
          <w:szCs w:val="20"/>
        </w:rPr>
        <w:t>„</w:t>
      </w:r>
      <w:r w:rsidR="00EE07F4" w:rsidRPr="00EE07F4">
        <w:rPr>
          <w:rFonts w:eastAsiaTheme="minorHAnsi" w:cstheme="minorHAnsi"/>
          <w:b/>
          <w:bCs/>
          <w:i/>
          <w:iCs/>
          <w:sz w:val="20"/>
          <w:szCs w:val="20"/>
          <w:lang w:val="sk-SK" w:eastAsia="en-US"/>
        </w:rPr>
        <w:t>Vranov n. T. – Dobudovanie a rekonštrukcia technickej infraštruktúry na Ul. Cintorínskej</w:t>
      </w:r>
      <w:r w:rsidR="004A4B00" w:rsidRPr="00EE07F4">
        <w:rPr>
          <w:rFonts w:eastAsiaTheme="minorHAnsi" w:cstheme="minorHAnsi"/>
          <w:b/>
          <w:bCs/>
          <w:i/>
          <w:iCs/>
          <w:sz w:val="20"/>
          <w:szCs w:val="20"/>
          <w:lang w:val="sk-SK" w:eastAsia="en-US"/>
        </w:rPr>
        <w:t>“</w:t>
      </w:r>
      <w:r w:rsidR="004A4B00" w:rsidRPr="00EE07F4">
        <w:rPr>
          <w:rFonts w:cstheme="minorHAnsi"/>
          <w:b/>
          <w:bCs/>
          <w:i/>
          <w:iCs/>
          <w:sz w:val="20"/>
          <w:szCs w:val="20"/>
        </w:rPr>
        <w:t>,</w:t>
      </w:r>
      <w:r w:rsidR="004A4B00" w:rsidRPr="00AE6817">
        <w:rPr>
          <w:rFonts w:cstheme="minorHAnsi"/>
          <w:b/>
          <w:bCs/>
          <w:i/>
          <w:iCs/>
          <w:sz w:val="20"/>
          <w:szCs w:val="20"/>
        </w:rPr>
        <w:t xml:space="preserve"> vyhlásene</w:t>
      </w:r>
      <w:r w:rsidR="004A4B00" w:rsidRPr="00CA21E0">
        <w:rPr>
          <w:rFonts w:cstheme="minorHAnsi"/>
          <w:b/>
          <w:bCs/>
          <w:i/>
          <w:iCs/>
          <w:sz w:val="20"/>
          <w:szCs w:val="20"/>
        </w:rPr>
        <w:t xml:space="preserve">j vo </w:t>
      </w:r>
      <w:r w:rsidR="00CA21E0" w:rsidRPr="00CA21E0">
        <w:rPr>
          <w:rFonts w:cstheme="minorHAnsi"/>
          <w:b/>
          <w:bCs/>
          <w:i/>
          <w:iCs/>
          <w:sz w:val="20"/>
          <w:szCs w:val="20"/>
        </w:rPr>
        <w:t>Vestníku verejného obstarávania</w:t>
      </w:r>
      <w:r w:rsidR="00CA21E0" w:rsidRPr="00CA21E0">
        <w:rPr>
          <w:rFonts w:cstheme="minorHAnsi"/>
          <w:i/>
          <w:iCs/>
          <w:sz w:val="20"/>
          <w:szCs w:val="20"/>
        </w:rPr>
        <w:t xml:space="preserve"> </w:t>
      </w:r>
      <w:r w:rsidR="00CA21E0" w:rsidRPr="00EE07F4">
        <w:rPr>
          <w:rFonts w:cstheme="minorHAnsi"/>
          <w:b/>
          <w:bCs/>
          <w:i/>
          <w:iCs/>
          <w:color w:val="000000" w:themeColor="text1"/>
          <w:sz w:val="20"/>
          <w:szCs w:val="20"/>
        </w:rPr>
        <w:t xml:space="preserve">č. </w:t>
      </w:r>
      <w:r w:rsidR="00EE07F4" w:rsidRPr="00EE07F4">
        <w:rPr>
          <w:b/>
          <w:i/>
          <w:iCs/>
          <w:color w:val="000000"/>
          <w:sz w:val="20"/>
          <w:szCs w:val="20"/>
        </w:rPr>
        <w:t>53/2021 – 23.02.2021, zn. 13953</w:t>
      </w:r>
      <w:r w:rsidR="00EE07F4" w:rsidRPr="00EE07F4">
        <w:rPr>
          <w:b/>
          <w:bCs/>
          <w:i/>
          <w:iCs/>
          <w:color w:val="000000"/>
          <w:sz w:val="20"/>
          <w:szCs w:val="20"/>
        </w:rPr>
        <w:t>- WYP</w:t>
      </w:r>
      <w:r w:rsidR="00EE07F4"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2704C1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EE07F4" w:rsidRPr="00EE07F4">
        <w:rPr>
          <w:rFonts w:eastAsiaTheme="minorHAnsi" w:cstheme="minorHAnsi"/>
          <w:b/>
          <w:bCs/>
          <w:i/>
          <w:iCs/>
          <w:sz w:val="20"/>
          <w:szCs w:val="20"/>
          <w:lang w:val="sk-SK" w:eastAsia="en-US"/>
        </w:rPr>
        <w:t>Vranov n. T. – Dobudovanie a rekonštrukcia technickej infraštruktúry na Ul. Cintorínskej“</w:t>
      </w:r>
      <w:r w:rsidR="00EE07F4" w:rsidRPr="00EE07F4">
        <w:rPr>
          <w:rFonts w:cstheme="minorHAnsi"/>
          <w:b/>
          <w:bCs/>
          <w:i/>
          <w:iCs/>
          <w:sz w:val="20"/>
          <w:szCs w:val="20"/>
        </w:rPr>
        <w:t>,</w:t>
      </w:r>
      <w:r w:rsidR="00EE07F4" w:rsidRPr="00AE6817">
        <w:rPr>
          <w:rFonts w:cstheme="minorHAnsi"/>
          <w:b/>
          <w:bCs/>
          <w:i/>
          <w:iCs/>
          <w:sz w:val="20"/>
          <w:szCs w:val="20"/>
        </w:rPr>
        <w:t xml:space="preserve"> vyhlásene</w:t>
      </w:r>
      <w:r w:rsidR="00EE07F4" w:rsidRPr="00CA21E0">
        <w:rPr>
          <w:rFonts w:cstheme="minorHAnsi"/>
          <w:b/>
          <w:bCs/>
          <w:i/>
          <w:iCs/>
          <w:sz w:val="20"/>
          <w:szCs w:val="20"/>
        </w:rPr>
        <w:t>j vo Vestníku verejného obstarávania</w:t>
      </w:r>
      <w:r w:rsidR="00EE07F4" w:rsidRPr="00CA21E0">
        <w:rPr>
          <w:rFonts w:cstheme="minorHAnsi"/>
          <w:i/>
          <w:iCs/>
          <w:sz w:val="20"/>
          <w:szCs w:val="20"/>
        </w:rPr>
        <w:t xml:space="preserve"> </w:t>
      </w:r>
      <w:r w:rsidR="00EE07F4" w:rsidRPr="00EE07F4">
        <w:rPr>
          <w:rFonts w:cstheme="minorHAnsi"/>
          <w:b/>
          <w:bCs/>
          <w:i/>
          <w:iCs/>
          <w:color w:val="000000" w:themeColor="text1"/>
          <w:sz w:val="20"/>
          <w:szCs w:val="20"/>
        </w:rPr>
        <w:t xml:space="preserve">č. </w:t>
      </w:r>
      <w:r w:rsidR="00EE07F4" w:rsidRPr="00EE07F4">
        <w:rPr>
          <w:b/>
          <w:i/>
          <w:iCs/>
          <w:color w:val="000000"/>
          <w:sz w:val="20"/>
          <w:szCs w:val="20"/>
        </w:rPr>
        <w:t>53/2021 – 23.02.2021, zn. 13953</w:t>
      </w:r>
      <w:r w:rsidR="00EE07F4" w:rsidRPr="00EE07F4">
        <w:rPr>
          <w:b/>
          <w:bCs/>
          <w:i/>
          <w:iCs/>
          <w:color w:val="000000"/>
          <w:sz w:val="20"/>
          <w:szCs w:val="20"/>
        </w:rPr>
        <w:t>- WYP</w:t>
      </w:r>
      <w:r w:rsidR="00EE07F4">
        <w:rPr>
          <w:b/>
          <w:bCs/>
          <w:i/>
          <w:iCs/>
          <w:color w:val="000000"/>
          <w:sz w:val="20"/>
          <w:szCs w:val="20"/>
        </w:rPr>
        <w:t xml:space="preserve"> </w:t>
      </w:r>
      <w:r w:rsidR="00AE6817"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2F815729"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EE07F4" w:rsidRPr="00EE07F4">
        <w:rPr>
          <w:rFonts w:cstheme="minorHAnsi"/>
          <w:b/>
          <w:bCs/>
          <w:i/>
          <w:iCs/>
          <w:sz w:val="20"/>
          <w:szCs w:val="20"/>
        </w:rPr>
        <w:t>„</w:t>
      </w:r>
      <w:r w:rsidR="00EE07F4" w:rsidRPr="00EE07F4">
        <w:rPr>
          <w:rFonts w:eastAsiaTheme="minorHAnsi" w:cstheme="minorHAnsi"/>
          <w:b/>
          <w:bCs/>
          <w:i/>
          <w:iCs/>
          <w:sz w:val="20"/>
          <w:szCs w:val="20"/>
          <w:lang w:val="sk-SK" w:eastAsia="en-US"/>
        </w:rPr>
        <w:t>Vranov n. T. – Dobudovanie a rekonštrukcia technickej infraštruktúry na Ul. Cintorínskej“</w:t>
      </w:r>
      <w:r w:rsidR="00EE07F4" w:rsidRPr="00EE07F4">
        <w:rPr>
          <w:rFonts w:cstheme="minorHAnsi"/>
          <w:b/>
          <w:bCs/>
          <w:i/>
          <w:iCs/>
          <w:sz w:val="20"/>
          <w:szCs w:val="20"/>
        </w:rPr>
        <w:t>,</w:t>
      </w:r>
      <w:r w:rsidR="00EE07F4" w:rsidRPr="00AE6817">
        <w:rPr>
          <w:rFonts w:cstheme="minorHAnsi"/>
          <w:b/>
          <w:bCs/>
          <w:i/>
          <w:iCs/>
          <w:sz w:val="20"/>
          <w:szCs w:val="20"/>
        </w:rPr>
        <w:t xml:space="preserve"> vyhlásene</w:t>
      </w:r>
      <w:r w:rsidR="00EE07F4" w:rsidRPr="00CA21E0">
        <w:rPr>
          <w:rFonts w:cstheme="minorHAnsi"/>
          <w:b/>
          <w:bCs/>
          <w:i/>
          <w:iCs/>
          <w:sz w:val="20"/>
          <w:szCs w:val="20"/>
        </w:rPr>
        <w:t>j vo Vestníku verejného obstarávania</w:t>
      </w:r>
      <w:r w:rsidR="00EE07F4" w:rsidRPr="00CA21E0">
        <w:rPr>
          <w:rFonts w:cstheme="minorHAnsi"/>
          <w:i/>
          <w:iCs/>
          <w:sz w:val="20"/>
          <w:szCs w:val="20"/>
        </w:rPr>
        <w:t xml:space="preserve"> </w:t>
      </w:r>
      <w:r w:rsidR="00EE07F4" w:rsidRPr="00EE07F4">
        <w:rPr>
          <w:rFonts w:cstheme="minorHAnsi"/>
          <w:b/>
          <w:bCs/>
          <w:i/>
          <w:iCs/>
          <w:color w:val="000000" w:themeColor="text1"/>
          <w:sz w:val="20"/>
          <w:szCs w:val="20"/>
        </w:rPr>
        <w:t xml:space="preserve">č. </w:t>
      </w:r>
      <w:r w:rsidR="00EE07F4" w:rsidRPr="00EE07F4">
        <w:rPr>
          <w:b/>
          <w:i/>
          <w:iCs/>
          <w:color w:val="000000"/>
          <w:sz w:val="20"/>
          <w:szCs w:val="20"/>
        </w:rPr>
        <w:t>53/2021 – 23.02.2021, zn. 13953</w:t>
      </w:r>
      <w:r w:rsidR="00EE07F4" w:rsidRPr="00EE07F4">
        <w:rPr>
          <w:b/>
          <w:bCs/>
          <w:i/>
          <w:iCs/>
          <w:color w:val="000000"/>
          <w:sz w:val="20"/>
          <w:szCs w:val="20"/>
        </w:rPr>
        <w:t>- WYP</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55B09DCB" w14:textId="1D86EB97" w:rsidR="00AC669C" w:rsidRPr="00AC669C" w:rsidRDefault="00D72B56" w:rsidP="00AC669C">
      <w:pPr>
        <w:rPr>
          <w:rFonts w:asciiTheme="minorHAnsi" w:hAnsiTheme="minorHAnsi" w:cstheme="minorHAnsi"/>
          <w:b/>
          <w:bCs/>
        </w:rPr>
      </w:pPr>
      <w:hyperlink r:id="rId15" w:history="1">
        <w:r w:rsidR="00AC669C" w:rsidRPr="00FC7A14">
          <w:rPr>
            <w:rStyle w:val="Hypertextovprepojenie"/>
            <w:rFonts w:asciiTheme="minorHAnsi" w:hAnsiTheme="minorHAnsi" w:cstheme="minorHAnsi"/>
            <w:b/>
            <w:bCs/>
          </w:rPr>
          <w:t>https://josephine.proebiz.com/sk/tender/10954/summary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2A614CC" w14:textId="6633EA9E" w:rsidR="00AC669C" w:rsidRPr="00AC669C" w:rsidRDefault="00D72B56" w:rsidP="00AC669C">
      <w:pPr>
        <w:rPr>
          <w:rFonts w:asciiTheme="minorHAnsi" w:hAnsiTheme="minorHAnsi" w:cstheme="minorHAnsi"/>
          <w:b/>
          <w:bCs/>
        </w:rPr>
      </w:pPr>
      <w:hyperlink r:id="rId16" w:history="1">
        <w:r w:rsidR="00356E08" w:rsidRPr="00FC7A14">
          <w:rPr>
            <w:rStyle w:val="Hypertextovprepojenie"/>
            <w:rFonts w:asciiTheme="minorHAnsi" w:hAnsiTheme="minorHAnsi" w:cstheme="minorHAnsi"/>
            <w:b/>
            <w:bCs/>
          </w:rPr>
          <w:t>https://josephine.proebiz.com/sk/tender/10954/summary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D72B56"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6156E" w14:textId="77777777" w:rsidR="00EF5A8B" w:rsidRDefault="00EF5A8B">
      <w:r>
        <w:separator/>
      </w:r>
    </w:p>
  </w:endnote>
  <w:endnote w:type="continuationSeparator" w:id="0">
    <w:p w14:paraId="107BED87" w14:textId="77777777" w:rsidR="00EF5A8B" w:rsidRDefault="00EF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D72B56" w:rsidRDefault="00D72B56">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D72B56" w:rsidRDefault="00D72B56">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D72B56" w:rsidRDefault="00D72B56">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D72B56" w:rsidRDefault="00D72B56"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D72B56" w:rsidRPr="00EB0477" w:rsidRDefault="00D72B56" w:rsidP="002F218C">
    <w:pPr>
      <w:pStyle w:val="Pta"/>
    </w:pPr>
  </w:p>
  <w:p w14:paraId="2134E33A" w14:textId="77777777" w:rsidR="00D72B56" w:rsidRDefault="00D72B56"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D72B56" w:rsidRPr="00EB0477" w:rsidRDefault="00D72B56"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19E12" w14:textId="77777777" w:rsidR="00EF5A8B" w:rsidRDefault="00EF5A8B">
      <w:r>
        <w:separator/>
      </w:r>
    </w:p>
  </w:footnote>
  <w:footnote w:type="continuationSeparator" w:id="0">
    <w:p w14:paraId="7BC48B60" w14:textId="77777777" w:rsidR="00EF5A8B" w:rsidRDefault="00EF5A8B">
      <w:r>
        <w:continuationSeparator/>
      </w:r>
    </w:p>
  </w:footnote>
  <w:footnote w:id="1">
    <w:p w14:paraId="5AC75635" w14:textId="77777777" w:rsidR="00D72B56" w:rsidRPr="00B476F0" w:rsidRDefault="00D72B56"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D72B56" w:rsidRPr="005D088B" w:rsidRDefault="00D72B56"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D72B56" w:rsidRPr="005D088B" w:rsidRDefault="00D72B56"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D72B56" w:rsidRPr="00E1291F" w:rsidRDefault="00D72B56"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D72B56" w:rsidRPr="005D088B" w:rsidRDefault="00D72B56"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D72B56" w:rsidRPr="00763CAB" w:rsidRDefault="00D72B56"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D72B56" w:rsidRPr="005D088B" w:rsidRDefault="00D72B56"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D72B56" w:rsidRDefault="00D72B56" w:rsidP="002F218C">
    <w:pPr>
      <w:pStyle w:val="Hlavika"/>
    </w:pPr>
  </w:p>
  <w:p w14:paraId="294E088F" w14:textId="77777777" w:rsidR="00D72B56" w:rsidRDefault="00D72B56"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D72B56" w:rsidRDefault="00D72B56">
    <w:pPr>
      <w:pStyle w:val="Hlavika"/>
    </w:pPr>
  </w:p>
  <w:p w14:paraId="0D69A02C" w14:textId="77777777" w:rsidR="00D72B56" w:rsidRDefault="00D72B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13F96C"/>
    <w:multiLevelType w:val="hybridMultilevel"/>
    <w:tmpl w:val="F6ACEA9C"/>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6"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5D10A4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b/>
        <w:bCs/>
        <w:color w:val="auto"/>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6"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7"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5"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6"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7"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8"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2"/>
  </w:num>
  <w:num w:numId="2">
    <w:abstractNumId w:val="13"/>
  </w:num>
  <w:num w:numId="3">
    <w:abstractNumId w:val="29"/>
  </w:num>
  <w:num w:numId="4">
    <w:abstractNumId w:val="43"/>
  </w:num>
  <w:num w:numId="5">
    <w:abstractNumId w:val="6"/>
  </w:num>
  <w:num w:numId="6">
    <w:abstractNumId w:val="8"/>
  </w:num>
  <w:num w:numId="7">
    <w:abstractNumId w:val="26"/>
  </w:num>
  <w:num w:numId="8">
    <w:abstractNumId w:val="18"/>
  </w:num>
  <w:num w:numId="9">
    <w:abstractNumId w:val="25"/>
  </w:num>
  <w:num w:numId="10">
    <w:abstractNumId w:val="36"/>
  </w:num>
  <w:num w:numId="11">
    <w:abstractNumId w:val="16"/>
  </w:num>
  <w:num w:numId="12">
    <w:abstractNumId w:val="30"/>
  </w:num>
  <w:num w:numId="13">
    <w:abstractNumId w:val="31"/>
  </w:num>
  <w:num w:numId="14">
    <w:abstractNumId w:val="31"/>
  </w:num>
  <w:num w:numId="15">
    <w:abstractNumId w:val="28"/>
  </w:num>
  <w:num w:numId="16">
    <w:abstractNumId w:val="33"/>
  </w:num>
  <w:num w:numId="17">
    <w:abstractNumId w:val="11"/>
  </w:num>
  <w:num w:numId="18">
    <w:abstractNumId w:val="14"/>
  </w:num>
  <w:num w:numId="19">
    <w:abstractNumId w:val="19"/>
  </w:num>
  <w:num w:numId="20">
    <w:abstractNumId w:val="24"/>
  </w:num>
  <w:num w:numId="21">
    <w:abstractNumId w:val="4"/>
  </w:num>
  <w:num w:numId="22">
    <w:abstractNumId w:val="7"/>
  </w:num>
  <w:num w:numId="23">
    <w:abstractNumId w:val="20"/>
  </w:num>
  <w:num w:numId="24">
    <w:abstractNumId w:val="38"/>
  </w:num>
  <w:num w:numId="25">
    <w:abstractNumId w:val="22"/>
  </w:num>
  <w:num w:numId="26">
    <w:abstractNumId w:val="42"/>
  </w:num>
  <w:num w:numId="27">
    <w:abstractNumId w:val="23"/>
  </w:num>
  <w:num w:numId="28">
    <w:abstractNumId w:val="21"/>
  </w:num>
  <w:num w:numId="29">
    <w:abstractNumId w:val="15"/>
  </w:num>
  <w:num w:numId="30">
    <w:abstractNumId w:val="1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5"/>
  </w:num>
  <w:num w:numId="34">
    <w:abstractNumId w:val="3"/>
  </w:num>
  <w:num w:numId="35">
    <w:abstractNumId w:val="39"/>
  </w:num>
  <w:num w:numId="36">
    <w:abstractNumId w:val="4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0"/>
  </w:num>
  <w:num w:numId="41">
    <w:abstractNumId w:val="37"/>
  </w:num>
  <w:num w:numId="42">
    <w:abstractNumId w:val="5"/>
  </w:num>
  <w:num w:numId="43">
    <w:abstractNumId w:val="41"/>
  </w:num>
  <w:num w:numId="44">
    <w:abstractNumId w:val="9"/>
  </w:num>
  <w:num w:numId="45">
    <w:abstractNumId w:val="27"/>
  </w:num>
  <w:num w:numId="46">
    <w:abstractNumId w:val="0"/>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492E"/>
    <w:rsid w:val="00006431"/>
    <w:rsid w:val="000121B8"/>
    <w:rsid w:val="00020F46"/>
    <w:rsid w:val="0002315F"/>
    <w:rsid w:val="0003027B"/>
    <w:rsid w:val="00030BD2"/>
    <w:rsid w:val="00033485"/>
    <w:rsid w:val="000467AB"/>
    <w:rsid w:val="00054955"/>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529"/>
    <w:rsid w:val="001F7C05"/>
    <w:rsid w:val="00212072"/>
    <w:rsid w:val="00220D18"/>
    <w:rsid w:val="00236835"/>
    <w:rsid w:val="00250866"/>
    <w:rsid w:val="00284345"/>
    <w:rsid w:val="00291382"/>
    <w:rsid w:val="002B4E12"/>
    <w:rsid w:val="002C522B"/>
    <w:rsid w:val="002C6BAC"/>
    <w:rsid w:val="002E15F9"/>
    <w:rsid w:val="002E6183"/>
    <w:rsid w:val="002F218C"/>
    <w:rsid w:val="003050D0"/>
    <w:rsid w:val="0031065E"/>
    <w:rsid w:val="00314E9E"/>
    <w:rsid w:val="003156A1"/>
    <w:rsid w:val="00346780"/>
    <w:rsid w:val="00354FBA"/>
    <w:rsid w:val="00356E08"/>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67B8"/>
    <w:rsid w:val="006D7B7B"/>
    <w:rsid w:val="006E230A"/>
    <w:rsid w:val="006E2AF2"/>
    <w:rsid w:val="007035BB"/>
    <w:rsid w:val="00717AA2"/>
    <w:rsid w:val="00755BE6"/>
    <w:rsid w:val="00756E1B"/>
    <w:rsid w:val="00766D47"/>
    <w:rsid w:val="00785773"/>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4FB4"/>
    <w:rsid w:val="009C6123"/>
    <w:rsid w:val="009C636C"/>
    <w:rsid w:val="009C72CE"/>
    <w:rsid w:val="009E2A67"/>
    <w:rsid w:val="009E55E4"/>
    <w:rsid w:val="009E6969"/>
    <w:rsid w:val="009F50DF"/>
    <w:rsid w:val="00A1678F"/>
    <w:rsid w:val="00A328B3"/>
    <w:rsid w:val="00A367C7"/>
    <w:rsid w:val="00A407B0"/>
    <w:rsid w:val="00A65255"/>
    <w:rsid w:val="00A75492"/>
    <w:rsid w:val="00AC669C"/>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2B56"/>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07F4"/>
    <w:rsid w:val="00EE795D"/>
    <w:rsid w:val="00EF5A8B"/>
    <w:rsid w:val="00F00BED"/>
    <w:rsid w:val="00F05F14"/>
    <w:rsid w:val="00F110B4"/>
    <w:rsid w:val="00F242FE"/>
    <w:rsid w:val="00F24BED"/>
    <w:rsid w:val="00F261E5"/>
    <w:rsid w:val="00F36139"/>
    <w:rsid w:val="00F574E4"/>
    <w:rsid w:val="00F57CCF"/>
    <w:rsid w:val="00F61A4E"/>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6615">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392002309">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0954/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954/summary" TargetMode="External"/><Relationship Id="rId5" Type="http://schemas.openxmlformats.org/officeDocument/2006/relationships/webSettings" Target="webSettings.xml"/><Relationship Id="rId15" Type="http://schemas.openxmlformats.org/officeDocument/2006/relationships/hyperlink" Target="https://josephine.proebiz.com/sk/tender/10954/summary" TargetMode="External"/><Relationship Id="rId10" Type="http://schemas.openxmlformats.org/officeDocument/2006/relationships/hyperlink" Target="https://josephine.proebiz.com/sk/tender/10954/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hyperlink" Target="https://josephine.proebiz.com/sk/tender/10954/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12038</Words>
  <Characters>68622</Characters>
  <Application>Microsoft Office Word</Application>
  <DocSecurity>0</DocSecurity>
  <Lines>571</Lines>
  <Paragraphs>160</Paragraphs>
  <ScaleCrop>false</ScaleCrop>
  <HeadingPairs>
    <vt:vector size="4" baseType="variant">
      <vt:variant>
        <vt:lpstr>Názov</vt:lpstr>
      </vt:variant>
      <vt:variant>
        <vt:i4>1</vt:i4>
      </vt:variant>
      <vt:variant>
        <vt:lpstr>Nadpisy</vt:lpstr>
      </vt:variant>
      <vt:variant>
        <vt:i4>64</vt:i4>
      </vt:variant>
    </vt:vector>
  </HeadingPairs>
  <TitlesOfParts>
    <vt:vector size="6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„Vranov n. T. – Dobudovanie a rekonštrukcia technickej infraštruktúry na </vt:lpstr>
      <vt:lpstr>DOROZUMIEVANIE A VYSVETĽOVANIE</vt:lpstr>
      <vt:lpstr/>
      <vt:lpstr>Časť III</vt:lpstr>
      <vt:lpstr>názov súťaže: „Vranov n. T. – Dobudovanie a rekonštrukcia technickej infraštrukt</vt:lpstr>
      <vt:lpstr>    Verejný obstarávateľ vyžaduje od uchádzača na zabezpečenie ponuky zloženie zábez</vt:lpstr>
      <vt:lpstr>    Zábezpeka je stanovená vo výške 8.000,00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
      <vt:lpstr/>
      <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80500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7</cp:revision>
  <cp:lastPrinted>2021-02-19T15:51:00Z</cp:lastPrinted>
  <dcterms:created xsi:type="dcterms:W3CDTF">2021-03-05T14:58:00Z</dcterms:created>
  <dcterms:modified xsi:type="dcterms:W3CDTF">2021-03-05T15:36:00Z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