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a.s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>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18A77EFA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1D4E64">
        <w:rPr>
          <w:rFonts w:ascii="Calibri" w:eastAsia="Arial" w:hAnsi="Calibri" w:cs="Calibri"/>
          <w:lang w:val="sk" w:eastAsia="sk"/>
        </w:rPr>
        <w:t>Mgr. 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1D4E64" w:rsidRPr="006A2072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1D4E64" w:rsidRPr="001D4E64">
        <w:rPr>
          <w:rFonts w:ascii="Calibri" w:eastAsia="Arial" w:hAnsi="Calibri" w:cs="Calibri"/>
          <w:lang w:val="sk" w:eastAsia="sk"/>
        </w:rPr>
        <w:t>+421/949 007 350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66DE04CD" w14:textId="63DAEC7E" w:rsidR="001D4E64" w:rsidRDefault="00C535B8" w:rsidP="001D4E64">
      <w:pPr>
        <w:widowControl w:val="0"/>
        <w:autoSpaceDE w:val="0"/>
        <w:autoSpaceDN w:val="0"/>
        <w:spacing w:after="0" w:line="240" w:lineRule="auto"/>
        <w:ind w:left="624"/>
        <w:jc w:val="both"/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1D4E64" w:rsidRPr="006A2072">
          <w:rPr>
            <w:rStyle w:val="Hypertextovprepojenie"/>
          </w:rPr>
          <w:t>https://josephine.proebiz.com/sk/promoter/tender/10956/summary</w:t>
        </w:r>
      </w:hyperlink>
    </w:p>
    <w:p w14:paraId="1667EBB6" w14:textId="62C2D123" w:rsidR="00454632" w:rsidRDefault="001E604B" w:rsidP="001D4E64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05BB8B64" w:rsidR="00AA55B6" w:rsidRPr="00063F3D" w:rsidRDefault="007F7679" w:rsidP="00AA5650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1D4E64" w:rsidRPr="001D4E64">
        <w:rPr>
          <w:rFonts w:cstheme="minorHAnsi"/>
          <w:b/>
          <w:bCs/>
        </w:rPr>
        <w:t>Časť 9. Zváranie a príslušenstvo</w:t>
      </w:r>
    </w:p>
    <w:p w14:paraId="4C0C3595" w14:textId="2879320A" w:rsidR="0057058A" w:rsidRDefault="001E604B" w:rsidP="00DF0A6D">
      <w:pPr>
        <w:spacing w:after="0" w:line="259" w:lineRule="auto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096F73">
        <w:t xml:space="preserve">43830000-0 Mechanické náradie, </w:t>
      </w:r>
      <w:r w:rsidR="001D4E64" w:rsidRPr="001D4E64">
        <w:t>44315100-2 - Príslušenstvo na zváranie</w:t>
      </w:r>
      <w:r w:rsidR="00096F73">
        <w:t>,</w:t>
      </w:r>
      <w:r w:rsidR="00DF0A6D">
        <w:t xml:space="preserve"> </w:t>
      </w:r>
      <w:r w:rsidR="00096F73">
        <w:t>60000000-8 Dopravné služby (bez prepravy odpadu)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21DE6A08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D841C2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 xml:space="preserve">, 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6B53FF74" w14:textId="5EFB977A" w:rsidR="004A3249" w:rsidRPr="004A3249" w:rsidRDefault="003F68BC" w:rsidP="003F68B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0FA994D7" w14:textId="77777777" w:rsidR="00593FA5" w:rsidRPr="00593FA5" w:rsidRDefault="00895E51" w:rsidP="00593FA5">
      <w:pPr>
        <w:ind w:left="567"/>
        <w:jc w:val="both"/>
        <w:rPr>
          <w:rFonts w:cstheme="minorHAnsi"/>
          <w:color w:val="333333"/>
          <w:shd w:val="clear" w:color="auto" w:fill="FFFFFF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593FA5" w:rsidRPr="00593FA5">
        <w:rPr>
          <w:rFonts w:cstheme="minorHAnsi"/>
          <w:color w:val="333333"/>
          <w:shd w:val="clear" w:color="auto" w:fill="FFFFFF"/>
        </w:rPr>
        <w:t xml:space="preserve">Dodanie nového tovaru v neporušených obaloch, a to dielenského ručného, pneumatického a elektromechanického  náradia používaného v opravárenských dielňach, ktoré je potrebné pri opravách v rozsahu podľa dokumentu Príloha č. 1 – Technická špecifikácia, v čiastkových dodávkach s naložením, dopravou a vyložením na miesto určenia podľa špecifikácie verejného obstarávateľa. </w:t>
      </w:r>
    </w:p>
    <w:p w14:paraId="17C5082C" w14:textId="56E67A3D" w:rsidR="0065567A" w:rsidRDefault="00593FA5" w:rsidP="00593FA5">
      <w:pPr>
        <w:ind w:left="567"/>
        <w:jc w:val="both"/>
        <w:rPr>
          <w:rFonts w:cstheme="minorHAnsi"/>
          <w:color w:val="333333"/>
          <w:shd w:val="clear" w:color="auto" w:fill="FFFFFF"/>
        </w:rPr>
      </w:pPr>
      <w:r w:rsidRPr="00593FA5">
        <w:rPr>
          <w:rFonts w:cstheme="minorHAnsi"/>
          <w:color w:val="333333"/>
          <w:shd w:val="clear" w:color="auto" w:fill="FFFFFF"/>
        </w:rPr>
        <w:t>Z dôvodu potreby zabezpečenia kvality je každé náradie opísané katalógovým číslom výrobcu, uvedený opis definuje minimálne parametre výrobku. Obstarávateľ umožňuje aj ekvivalentné výrobky s  presným odkazom na výrobcu a parametre ekvivalentného výrobku.</w:t>
      </w:r>
    </w:p>
    <w:p w14:paraId="62EC4EF3" w14:textId="1AA5D789" w:rsidR="00DF457C" w:rsidRPr="00063F3D" w:rsidRDefault="00DF457C" w:rsidP="00593FA5">
      <w:pPr>
        <w:ind w:left="567"/>
        <w:jc w:val="both"/>
        <w:rPr>
          <w:rFonts w:cstheme="minorHAnsi"/>
        </w:rPr>
      </w:pPr>
      <w:r w:rsidRPr="00DF457C">
        <w:rPr>
          <w:rFonts w:cstheme="minorHAnsi"/>
        </w:rPr>
        <w:t xml:space="preserve">Konkrétny výrobok podľa katalógového čísla je určený ako štandard pre definovanie minimálnych parametrov prípadného ekvivalentného výrobku. Umožňuje  sa predloženie ekvivalentného výrobku s minimálnymi parametrami  uvedenými odkazom na konkrétny výrobok. Pri predložení </w:t>
      </w:r>
      <w:r w:rsidRPr="00DF457C">
        <w:rPr>
          <w:rFonts w:cstheme="minorHAnsi"/>
        </w:rPr>
        <w:lastRenderedPageBreak/>
        <w:t>ekvivalentného výrobku je potrebné doložiť odkaz na výrobcu (predajcu), odkaz na konkrétne parametre výrobku a predloženie certifikátu pre použitie výrobku v EU.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622BC331" w:rsidR="00C535B8" w:rsidRDefault="001D4E64" w:rsidP="001D4E64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>
        <w:rPr>
          <w:rFonts w:cstheme="minorHAnsi"/>
          <w:bCs/>
        </w:rPr>
        <w:t>1988,18</w:t>
      </w:r>
      <w:r w:rsidR="007A0ADF"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53BD8E99" w14:textId="77777777" w:rsidR="001D4E64" w:rsidRDefault="001D4E64" w:rsidP="001D4E64">
      <w:pPr>
        <w:pStyle w:val="vyzvalanky"/>
        <w:numPr>
          <w:ilvl w:val="0"/>
          <w:numId w:val="0"/>
        </w:numPr>
        <w:ind w:left="567"/>
        <w:rPr>
          <w:color w:val="1F497D" w:themeColor="text2"/>
        </w:rPr>
      </w:pPr>
    </w:p>
    <w:p w14:paraId="2D64A5BC" w14:textId="43EC1A66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1AE419D8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1D4E64">
        <w:rPr>
          <w:rFonts w:cstheme="minorHAnsi"/>
        </w:rPr>
        <w:t xml:space="preserve">nie </w:t>
      </w:r>
      <w:r w:rsidRPr="00F75109">
        <w:rPr>
          <w:rFonts w:cstheme="minorHAnsi"/>
        </w:rPr>
        <w:t>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1D82A473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17D2E">
        <w:rPr>
          <w:color w:val="auto"/>
          <w:sz w:val="22"/>
          <w:szCs w:val="22"/>
        </w:rPr>
        <w:t>Rámcovej z</w:t>
      </w:r>
      <w:r w:rsidR="00895E51">
        <w:rPr>
          <w:color w:val="auto"/>
          <w:sz w:val="22"/>
          <w:szCs w:val="22"/>
        </w:rPr>
        <w:t>mluvy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117D2E">
        <w:rPr>
          <w:color w:val="auto"/>
          <w:sz w:val="22"/>
          <w:szCs w:val="22"/>
        </w:rPr>
        <w:t xml:space="preserve">na </w:t>
      </w:r>
      <w:r w:rsidR="005B7775">
        <w:rPr>
          <w:color w:val="auto"/>
          <w:sz w:val="22"/>
          <w:szCs w:val="22"/>
        </w:rPr>
        <w:t>18</w:t>
      </w:r>
      <w:r w:rsidR="00117D2E">
        <w:rPr>
          <w:color w:val="auto"/>
          <w:sz w:val="22"/>
          <w:szCs w:val="22"/>
        </w:rPr>
        <w:t xml:space="preserve"> mesiacov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5E4E948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9F162E">
        <w:rPr>
          <w:rFonts w:cstheme="minorHAnsi"/>
        </w:rPr>
        <w:t xml:space="preserve"> a čiastkových objednávok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60029C69" w:rsidR="001F69CA" w:rsidRPr="00382446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382446">
        <w:rPr>
          <w:rFonts w:cstheme="minorHAnsi"/>
        </w:rPr>
        <w:t xml:space="preserve">Obhliadka </w:t>
      </w:r>
      <w:r w:rsidR="00895E51" w:rsidRPr="00382446">
        <w:rPr>
          <w:rFonts w:cstheme="minorHAnsi"/>
        </w:rPr>
        <w:t xml:space="preserve"> </w:t>
      </w:r>
      <w:r w:rsidR="00463C44" w:rsidRPr="00382446">
        <w:rPr>
          <w:rFonts w:cstheme="minorHAnsi"/>
        </w:rPr>
        <w:t xml:space="preserve">nie </w:t>
      </w:r>
      <w:r w:rsidR="00895E51" w:rsidRPr="00382446">
        <w:rPr>
          <w:rFonts w:cstheme="minorHAnsi"/>
        </w:rPr>
        <w:t xml:space="preserve">je </w:t>
      </w:r>
      <w:r w:rsidR="00463C44" w:rsidRPr="00382446">
        <w:rPr>
          <w:rFonts w:cstheme="minorHAnsi"/>
        </w:rPr>
        <w:t>potrebná</w:t>
      </w:r>
      <w:r w:rsidR="00895E51" w:rsidRPr="00382446">
        <w:rPr>
          <w:rFonts w:cstheme="minorHAnsi"/>
        </w:rPr>
        <w:t>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5328474" w:rsidR="00687801" w:rsidRPr="00BC7473" w:rsidRDefault="00895E51" w:rsidP="006C261C">
      <w:pPr>
        <w:widowControl w:val="0"/>
        <w:autoSpaceDE w:val="0"/>
        <w:autoSpaceDN w:val="0"/>
        <w:spacing w:after="0"/>
        <w:jc w:val="both"/>
        <w:rPr>
          <w:color w:val="1F497D" w:themeColor="text2"/>
          <w:sz w:val="28"/>
          <w:szCs w:val="28"/>
          <w:lang w:val="sk" w:eastAsia="sk"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="001F69CA"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62F6C4BE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463C44">
        <w:rPr>
          <w:rFonts w:cstheme="minorHAnsi"/>
          <w:color w:val="000000" w:themeColor="text1"/>
          <w:lang w:eastAsia="sk"/>
        </w:rPr>
        <w:t>18</w:t>
      </w:r>
      <w:r w:rsidR="00037B79">
        <w:rPr>
          <w:rFonts w:cstheme="minorHAnsi"/>
          <w:color w:val="000000" w:themeColor="text1"/>
          <w:lang w:eastAsia="sk"/>
        </w:rPr>
        <w:t xml:space="preserve"> mesiacov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lastRenderedPageBreak/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52EF8F75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1" w:history="1">
        <w:r w:rsidR="001D4E64" w:rsidRPr="006A2072">
          <w:rPr>
            <w:rStyle w:val="Hypertextovprepojenie"/>
          </w:rPr>
          <w:t>https://josephine.proebiz.com/sk/promoter/tender/10956/summary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E45F2F">
        <w:rPr>
          <w:rFonts w:ascii="Calibri" w:eastAsia="Arial" w:hAnsi="Calibri" w:cs="Calibri"/>
          <w:lang w:eastAsia="sk"/>
        </w:rPr>
        <w:t>Mozilla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E45F2F">
        <w:rPr>
          <w:rFonts w:ascii="Calibri" w:eastAsia="Arial" w:hAnsi="Calibri" w:cs="Calibri"/>
          <w:lang w:eastAsia="sk"/>
        </w:rPr>
        <w:t>Edge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2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1D4E64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3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Pr="002B4AE9">
        <w:rPr>
          <w:rFonts w:ascii="Calibri" w:eastAsia="Arial" w:hAnsi="Calibri" w:cs="Calibri"/>
          <w:lang w:eastAsia="sk"/>
        </w:rPr>
        <w:lastRenderedPageBreak/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1D4E64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E197CB7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1D4E64">
        <w:rPr>
          <w:rFonts w:ascii="Calibri" w:eastAsia="Arial" w:hAnsi="Calibri" w:cs="Calibri"/>
          <w:lang w:eastAsia="sk"/>
        </w:rPr>
        <w:t>24</w:t>
      </w:r>
      <w:r w:rsidR="00032EFA">
        <w:rPr>
          <w:rFonts w:ascii="Calibri" w:eastAsia="Arial" w:hAnsi="Calibri" w:cs="Calibri"/>
          <w:lang w:eastAsia="sk"/>
        </w:rPr>
        <w:t>.</w:t>
      </w:r>
      <w:r w:rsidR="001D4E64">
        <w:rPr>
          <w:rFonts w:ascii="Calibri" w:eastAsia="Arial" w:hAnsi="Calibri" w:cs="Calibri"/>
          <w:lang w:eastAsia="sk"/>
        </w:rPr>
        <w:t>02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</w:t>
      </w:r>
      <w:r w:rsidR="001D4E6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 do 1</w:t>
      </w:r>
      <w:r w:rsidR="001D4E6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23798138" w:rsidR="009B0997" w:rsidRDefault="001D4E64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Pr="006A2072">
          <w:rPr>
            <w:rStyle w:val="Hypertextovprepojenie"/>
          </w:rPr>
          <w:t>https://josephine.proebiz.com/sk/promoter/tender/10956/summary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B0997">
        <w:rPr>
          <w:rFonts w:ascii="Calibri" w:eastAsia="Arial" w:hAnsi="Calibri" w:cs="Calibri"/>
          <w:lang w:eastAsia="sk"/>
        </w:rPr>
        <w:t>pdf</w:t>
      </w:r>
      <w:proofErr w:type="spellEnd"/>
      <w:r w:rsidRPr="009B0997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4321C779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4301CA">
        <w:rPr>
          <w:rFonts w:ascii="Calibri" w:eastAsia="Arial" w:hAnsi="Calibri" w:cs="Calibri"/>
          <w:lang w:val="sk" w:eastAsia="sk"/>
        </w:rPr>
        <w:t xml:space="preserve">časť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5E3CF8AF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>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4C2BC8C2" w14:textId="77777777" w:rsidR="007114D3" w:rsidRDefault="007E1461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– podrobný </w:t>
      </w:r>
      <w:proofErr w:type="spellStart"/>
      <w:r w:rsidR="00D71CAE">
        <w:rPr>
          <w:rFonts w:ascii="Calibri" w:eastAsia="Arial" w:hAnsi="Calibri" w:cs="Calibri"/>
          <w:b/>
          <w:bCs/>
          <w:u w:color="000000"/>
          <w:lang w:eastAsia="sk"/>
        </w:rPr>
        <w:t>položkov</w:t>
      </w:r>
      <w:r w:rsidR="00297B91">
        <w:rPr>
          <w:rFonts w:ascii="Calibri" w:eastAsia="Arial" w:hAnsi="Calibri" w:cs="Calibri"/>
          <w:b/>
          <w:bCs/>
          <w:u w:color="000000"/>
          <w:lang w:eastAsia="sk"/>
        </w:rPr>
        <w:t>ý</w:t>
      </w:r>
      <w:proofErr w:type="spellEnd"/>
      <w:r w:rsidR="00297B91">
        <w:rPr>
          <w:rFonts w:ascii="Calibri" w:eastAsia="Arial" w:hAnsi="Calibri" w:cs="Calibri"/>
          <w:b/>
          <w:bCs/>
          <w:u w:color="000000"/>
          <w:lang w:eastAsia="sk"/>
        </w:rPr>
        <w:t xml:space="preserve"> rozpis  v</w:t>
      </w:r>
      <w:r w:rsidR="006C0407">
        <w:rPr>
          <w:rFonts w:ascii="Calibri" w:eastAsia="Arial" w:hAnsi="Calibri" w:cs="Calibri"/>
          <w:b/>
          <w:bCs/>
          <w:u w:color="000000"/>
          <w:lang w:eastAsia="sk"/>
        </w:rPr>
        <w:t> stanovených jednotkách</w:t>
      </w:r>
    </w:p>
    <w:p w14:paraId="154E8752" w14:textId="3D48A214" w:rsidR="00E64DD5" w:rsidRPr="007E1461" w:rsidRDefault="007114D3" w:rsidP="007114D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                       </w:t>
      </w:r>
      <w:r>
        <w:rPr>
          <w:rFonts w:ascii="Calibri" w:eastAsia="Arial" w:hAnsi="Calibri" w:cs="Calibri"/>
          <w:b/>
          <w:lang w:eastAsia="sk"/>
        </w:rPr>
        <w:t>( vrátane  prílohy 1.1)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007B9474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6423B0">
        <w:rPr>
          <w:rFonts w:ascii="Calibri" w:eastAsia="Arial" w:hAnsi="Calibri" w:cs="Calibri"/>
          <w:lang w:val="sk" w:eastAsia="sk"/>
        </w:rPr>
        <w:t>19</w:t>
      </w:r>
      <w:r w:rsidR="00772C10">
        <w:rPr>
          <w:rFonts w:ascii="Calibri" w:eastAsia="Arial" w:hAnsi="Calibri" w:cs="Calibri"/>
          <w:lang w:val="sk" w:eastAsia="sk"/>
        </w:rPr>
        <w:t>.</w:t>
      </w:r>
      <w:r w:rsidR="006423B0">
        <w:rPr>
          <w:rFonts w:ascii="Calibri" w:eastAsia="Arial" w:hAnsi="Calibri" w:cs="Calibri"/>
          <w:lang w:val="sk" w:eastAsia="sk"/>
        </w:rPr>
        <w:t>2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6423B0">
        <w:rPr>
          <w:rFonts w:ascii="Calibri" w:eastAsia="Arial" w:hAnsi="Calibri" w:cs="Calibri"/>
          <w:lang w:val="sk" w:eastAsia="sk"/>
        </w:rPr>
        <w:t>1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EC869" w14:textId="77777777" w:rsidR="00C2247C" w:rsidRDefault="00C2247C" w:rsidP="00F14090">
      <w:pPr>
        <w:spacing w:after="0" w:line="240" w:lineRule="auto"/>
      </w:pPr>
      <w:r>
        <w:separator/>
      </w:r>
    </w:p>
  </w:endnote>
  <w:endnote w:type="continuationSeparator" w:id="0">
    <w:p w14:paraId="2789356D" w14:textId="77777777" w:rsidR="00C2247C" w:rsidRDefault="00C2247C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83CC" w14:textId="77777777" w:rsidR="00C2247C" w:rsidRDefault="00C2247C" w:rsidP="00F14090">
      <w:pPr>
        <w:spacing w:after="0" w:line="240" w:lineRule="auto"/>
      </w:pPr>
      <w:r>
        <w:separator/>
      </w:r>
    </w:p>
  </w:footnote>
  <w:footnote w:type="continuationSeparator" w:id="0">
    <w:p w14:paraId="33771C4A" w14:textId="77777777" w:rsidR="00C2247C" w:rsidRDefault="00C2247C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1D4E64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63F3D"/>
    <w:rsid w:val="00065F6D"/>
    <w:rsid w:val="00091C9A"/>
    <w:rsid w:val="00095262"/>
    <w:rsid w:val="00096F73"/>
    <w:rsid w:val="0009755D"/>
    <w:rsid w:val="000A2F4A"/>
    <w:rsid w:val="000A3E3D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4E64"/>
    <w:rsid w:val="001E11A8"/>
    <w:rsid w:val="001E19D6"/>
    <w:rsid w:val="001E41EA"/>
    <w:rsid w:val="001E5169"/>
    <w:rsid w:val="001E5980"/>
    <w:rsid w:val="001E604B"/>
    <w:rsid w:val="001F69CA"/>
    <w:rsid w:val="00203801"/>
    <w:rsid w:val="00213526"/>
    <w:rsid w:val="00213CBF"/>
    <w:rsid w:val="002274AE"/>
    <w:rsid w:val="002417E1"/>
    <w:rsid w:val="002453CC"/>
    <w:rsid w:val="00245AED"/>
    <w:rsid w:val="00257120"/>
    <w:rsid w:val="00262BBE"/>
    <w:rsid w:val="0026431A"/>
    <w:rsid w:val="00266EB6"/>
    <w:rsid w:val="00274170"/>
    <w:rsid w:val="00277CEA"/>
    <w:rsid w:val="002801AB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82446"/>
    <w:rsid w:val="00394D55"/>
    <w:rsid w:val="003A65B2"/>
    <w:rsid w:val="003A7BB3"/>
    <w:rsid w:val="003B19F7"/>
    <w:rsid w:val="003B2A25"/>
    <w:rsid w:val="003D19E8"/>
    <w:rsid w:val="003D246B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301CA"/>
    <w:rsid w:val="00451600"/>
    <w:rsid w:val="00454632"/>
    <w:rsid w:val="00463C44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B1E32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3FA5"/>
    <w:rsid w:val="00595334"/>
    <w:rsid w:val="0059724C"/>
    <w:rsid w:val="005975F4"/>
    <w:rsid w:val="005A094D"/>
    <w:rsid w:val="005A2648"/>
    <w:rsid w:val="005B7775"/>
    <w:rsid w:val="005C33BD"/>
    <w:rsid w:val="005C56BC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423B0"/>
    <w:rsid w:val="006531AC"/>
    <w:rsid w:val="0065567A"/>
    <w:rsid w:val="00662B03"/>
    <w:rsid w:val="006843B0"/>
    <w:rsid w:val="00687801"/>
    <w:rsid w:val="006A0B45"/>
    <w:rsid w:val="006A291B"/>
    <w:rsid w:val="006A45B5"/>
    <w:rsid w:val="006C0151"/>
    <w:rsid w:val="006C0407"/>
    <w:rsid w:val="006C261C"/>
    <w:rsid w:val="006C7B28"/>
    <w:rsid w:val="006C7BEE"/>
    <w:rsid w:val="006D0997"/>
    <w:rsid w:val="006D1475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038"/>
    <w:rsid w:val="00772C10"/>
    <w:rsid w:val="007805D8"/>
    <w:rsid w:val="00783E00"/>
    <w:rsid w:val="007867D7"/>
    <w:rsid w:val="00791113"/>
    <w:rsid w:val="007A0ADF"/>
    <w:rsid w:val="007B0404"/>
    <w:rsid w:val="007B137B"/>
    <w:rsid w:val="007B35C0"/>
    <w:rsid w:val="007B450C"/>
    <w:rsid w:val="007B6818"/>
    <w:rsid w:val="007B7D76"/>
    <w:rsid w:val="007C6B14"/>
    <w:rsid w:val="007C7C60"/>
    <w:rsid w:val="007E145D"/>
    <w:rsid w:val="007E1461"/>
    <w:rsid w:val="007E2534"/>
    <w:rsid w:val="007E39FF"/>
    <w:rsid w:val="007F0ED0"/>
    <w:rsid w:val="007F7679"/>
    <w:rsid w:val="0081198B"/>
    <w:rsid w:val="008228FF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7AB0"/>
    <w:rsid w:val="009B0997"/>
    <w:rsid w:val="009B20AD"/>
    <w:rsid w:val="009B3B00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3C50"/>
    <w:rsid w:val="00A2660B"/>
    <w:rsid w:val="00A27198"/>
    <w:rsid w:val="00A3260E"/>
    <w:rsid w:val="00A42445"/>
    <w:rsid w:val="00A46257"/>
    <w:rsid w:val="00A50456"/>
    <w:rsid w:val="00A72FEB"/>
    <w:rsid w:val="00A73134"/>
    <w:rsid w:val="00A775E4"/>
    <w:rsid w:val="00A80D8C"/>
    <w:rsid w:val="00A826F2"/>
    <w:rsid w:val="00A8748A"/>
    <w:rsid w:val="00A936A4"/>
    <w:rsid w:val="00A93A91"/>
    <w:rsid w:val="00A9706C"/>
    <w:rsid w:val="00AA31D5"/>
    <w:rsid w:val="00AA55B6"/>
    <w:rsid w:val="00AA5650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1E59"/>
    <w:rsid w:val="00B639C2"/>
    <w:rsid w:val="00B719C2"/>
    <w:rsid w:val="00B74793"/>
    <w:rsid w:val="00B82461"/>
    <w:rsid w:val="00B9393D"/>
    <w:rsid w:val="00B94C91"/>
    <w:rsid w:val="00BA0126"/>
    <w:rsid w:val="00BA530B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21BEB"/>
    <w:rsid w:val="00C2247C"/>
    <w:rsid w:val="00C2266A"/>
    <w:rsid w:val="00C247A8"/>
    <w:rsid w:val="00C321DE"/>
    <w:rsid w:val="00C37A2E"/>
    <w:rsid w:val="00C43A8A"/>
    <w:rsid w:val="00C50260"/>
    <w:rsid w:val="00C51DE3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77C8"/>
    <w:rsid w:val="00D67DC0"/>
    <w:rsid w:val="00D70F10"/>
    <w:rsid w:val="00D71964"/>
    <w:rsid w:val="00D71CAE"/>
    <w:rsid w:val="00D729C5"/>
    <w:rsid w:val="00D7355F"/>
    <w:rsid w:val="00D8169B"/>
    <w:rsid w:val="00D841C2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64DD5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C82"/>
    <w:rsid w:val="00EB26BE"/>
    <w:rsid w:val="00EB4C6E"/>
    <w:rsid w:val="00EC13D2"/>
    <w:rsid w:val="00ED1932"/>
    <w:rsid w:val="00ED64D0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50F15"/>
    <w:rsid w:val="00F6017F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promoter/tender/10956/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promoter/tender/10956/summary" TargetMode="External"/><Relationship Id="rId10" Type="http://schemas.openxmlformats.org/officeDocument/2006/relationships/hyperlink" Target="https://josephine.proebiz.com/sk/promoter/tender/10956/summar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anoc@olo.sk" TargetMode="External"/><Relationship Id="rId14" Type="http://schemas.openxmlformats.org/officeDocument/2006/relationships/hyperlink" Target="https://store.proebiz.com/docs/josephine/sk/Skrateny_navod_ucastnik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2245</Words>
  <Characters>12802</Characters>
  <Application>Microsoft Office Word</Application>
  <DocSecurity>4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Alexander Kanóc</cp:lastModifiedBy>
  <cp:revision>2</cp:revision>
  <cp:lastPrinted>2020-07-24T07:17:00Z</cp:lastPrinted>
  <dcterms:created xsi:type="dcterms:W3CDTF">2021-02-19T22:06:00Z</dcterms:created>
  <dcterms:modified xsi:type="dcterms:W3CDTF">2021-02-19T22:06:00Z</dcterms:modified>
</cp:coreProperties>
</file>