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27B2442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BF5AEF">
        <w:t>10</w:t>
      </w:r>
      <w:r w:rsidR="00AF3F5D" w:rsidRPr="002F21EB">
        <w:t xml:space="preserve"> – „</w:t>
      </w:r>
      <w:r w:rsidR="00BF5AEF" w:rsidRPr="00BF5AEF">
        <w:rPr>
          <w:b/>
        </w:rPr>
        <w:t>Zariadenie kancelárií nábytkom na mieru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A84E37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F5AEF">
        <w:t>10</w:t>
      </w:r>
      <w:r w:rsidR="00E17BF5" w:rsidRPr="001764A9">
        <w:t xml:space="preserve"> – „</w:t>
      </w:r>
      <w:r w:rsidR="00BF5AEF" w:rsidRPr="00BF5AEF">
        <w:rPr>
          <w:b/>
          <w:bCs/>
        </w:rPr>
        <w:t>Zariadenie kancelárií nábytkom na mieru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 xml:space="preserve">, </w:t>
      </w:r>
      <w:r w:rsidR="00BF5AEF">
        <w:t xml:space="preserve">zapojenie vstavaných tovarov, </w:t>
      </w:r>
      <w:r w:rsidR="005E7815">
        <w:t>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8A1468E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BF5AEF">
        <w:t xml:space="preserve"> </w:t>
      </w:r>
      <w:r w:rsidR="00BF5AEF" w:rsidRPr="00BF5AEF">
        <w:rPr>
          <w:b/>
          <w:bCs/>
        </w:rPr>
        <w:t xml:space="preserve">nábytok </w:t>
      </w:r>
      <w:r w:rsidR="00D52CBD">
        <w:rPr>
          <w:b/>
          <w:bCs/>
        </w:rPr>
        <w:t xml:space="preserve">vyrobený </w:t>
      </w:r>
      <w:r w:rsidR="00BF5AEF" w:rsidRPr="00BF5AEF">
        <w:rPr>
          <w:b/>
          <w:bCs/>
        </w:rPr>
        <w:t>na mieru</w:t>
      </w:r>
      <w:r w:rsidR="00C86998">
        <w:rPr>
          <w:b/>
          <w:bCs/>
        </w:rPr>
        <w:t xml:space="preserve"> vrátane vstavaných spotrebičov</w:t>
      </w:r>
      <w:r w:rsidR="00BF5AEF" w:rsidRPr="00BF5AEF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733D3FA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F5AEF">
        <w:rPr>
          <w:b/>
          <w:bCs/>
        </w:rPr>
        <w:t>do</w:t>
      </w:r>
      <w:r w:rsidR="00BF5AEF" w:rsidRPr="00C3584D">
        <w:rPr>
          <w:b/>
          <w:bCs/>
          <w:highlight w:val="yellow"/>
        </w:rPr>
        <w:t>_______</w:t>
      </w:r>
      <w:r w:rsidR="00C17EEC">
        <w:rPr>
          <w:b/>
          <w:bCs/>
        </w:rPr>
        <w:t xml:space="preserve"> kalendárnych</w:t>
      </w:r>
      <w:r w:rsidR="00BF5AEF">
        <w:rPr>
          <w:b/>
          <w:bCs/>
        </w:rPr>
        <w:t xml:space="preserve"> dní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1E907A42" w14:textId="5B22C8E5" w:rsidR="00CE4A6F" w:rsidRPr="00ED7F3E" w:rsidRDefault="00CE4A6F" w:rsidP="00BF5AEF">
      <w:pPr>
        <w:jc w:val="both"/>
      </w:pPr>
    </w:p>
    <w:p w14:paraId="6081DC78" w14:textId="19FEF1E6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 xml:space="preserve">ávod na použitie </w:t>
      </w:r>
      <w:r w:rsidR="00C3584D">
        <w:br/>
      </w:r>
      <w:r w:rsidRPr="00ED7F3E">
        <w:t>(v slovenskom jazyku)</w:t>
      </w:r>
      <w:r w:rsidR="00314C86" w:rsidRPr="00ED7F3E">
        <w:t xml:space="preserve">, </w:t>
      </w:r>
      <w:r w:rsidR="001B4470">
        <w:t xml:space="preserve">technický / </w:t>
      </w:r>
      <w:r w:rsidR="00EA2489" w:rsidRPr="00EA2489">
        <w:t>produktový</w:t>
      </w:r>
      <w:r w:rsidR="00EA2489">
        <w:t xml:space="preserve"> </w:t>
      </w:r>
      <w:r w:rsidR="00EA2489" w:rsidRPr="00EA2489">
        <w:t>list</w:t>
      </w:r>
      <w:r w:rsidR="00EA2489">
        <w:t>,</w:t>
      </w:r>
      <w:r w:rsidR="00EA2489" w:rsidRPr="00EA2489">
        <w:t xml:space="preserve"> </w:t>
      </w:r>
      <w:r w:rsidR="00ED7F3E" w:rsidRPr="00ED7F3E">
        <w:t>záručný list</w:t>
      </w:r>
      <w:r w:rsidR="00C3584D">
        <w:t xml:space="preserve"> </w:t>
      </w:r>
      <w:r w:rsidR="008A23EE">
        <w:t>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</w:t>
      </w:r>
      <w:r w:rsidRPr="002F7D88">
        <w:rPr>
          <w:color w:val="000000"/>
        </w:rPr>
        <w:lastRenderedPageBreak/>
        <w:t xml:space="preserve">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2FE06E68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C86998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C86998">
        <w:rPr>
          <w:rStyle w:val="CharStyle15"/>
        </w:rPr>
        <w:t xml:space="preserve"> (</w:t>
      </w:r>
      <w:r w:rsidR="00C17EEC">
        <w:rPr>
          <w:rStyle w:val="CharStyle15"/>
        </w:rPr>
        <w:t>z</w:t>
      </w:r>
      <w:r w:rsidR="00EF3891">
        <w:rPr>
          <w:rStyle w:val="CharStyle15"/>
        </w:rPr>
        <w:t xml:space="preserve"> prílohy č. 1 </w:t>
      </w:r>
      <w:r w:rsidR="00C86998">
        <w:rPr>
          <w:rStyle w:val="CharStyle15"/>
        </w:rPr>
        <w:t>súťažných podkladov)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72D7D71A" w:rsidR="00AD5AC0" w:rsidRPr="00C86998" w:rsidRDefault="00E266FE" w:rsidP="00C86998">
      <w:pPr>
        <w:tabs>
          <w:tab w:val="left" w:pos="5820"/>
        </w:tabs>
        <w:jc w:val="both"/>
        <w:rPr>
          <w:b/>
          <w:bCs/>
        </w:rPr>
        <w:sectPr w:rsidR="00AD5AC0" w:rsidRPr="00C86998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56B45609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EF3891" w:rsidRDefault="005C56ED" w:rsidP="005C56ED">
      <w:pPr>
        <w:jc w:val="center"/>
        <w:rPr>
          <w:rFonts w:asciiTheme="majorHAnsi" w:hAnsiTheme="majorHAnsi"/>
          <w:bCs/>
          <w:color w:val="1F4E79" w:themeColor="accent1" w:themeShade="80"/>
          <w:sz w:val="36"/>
          <w:szCs w:val="36"/>
        </w:rPr>
      </w:pPr>
      <w:r w:rsidRPr="00EF3891">
        <w:rPr>
          <w:rFonts w:asciiTheme="majorHAnsi" w:hAnsi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DCF1546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F5AEF" w:rsidRPr="00BF5AEF">
        <w:rPr>
          <w:rFonts w:ascii="Times New Roman" w:hAnsi="Times New Roman" w:cs="Times New Roman"/>
          <w:b/>
          <w:bCs/>
        </w:rPr>
        <w:t>Zariadenie kancelárií nábytkom na mieru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BF5AEF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10D65DF5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BF5AEF">
        <w:rPr>
          <w:color w:val="000000"/>
        </w:rPr>
        <w:t xml:space="preserve">  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464DF2F5" w:rsidR="00BF5AEF" w:rsidRPr="00D6715A" w:rsidRDefault="00BF5AEF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>
      <w:rPr>
        <w:b/>
        <w:bCs/>
        <w:sz w:val="22"/>
      </w:rPr>
      <w:t>10</w:t>
    </w:r>
    <w:r w:rsidRPr="00243E10">
      <w:rPr>
        <w:b/>
        <w:bCs/>
        <w:sz w:val="22"/>
      </w:rPr>
      <w:t xml:space="preserve"> - „</w:t>
    </w:r>
    <w:r w:rsidRPr="00BF5AEF">
      <w:rPr>
        <w:b/>
        <w:bCs/>
        <w:sz w:val="22"/>
      </w:rPr>
      <w:t>Zariadenie kancelárií nábytkom na mieru</w:t>
    </w:r>
    <w:r w:rsidRPr="00243E10">
      <w:rPr>
        <w:b/>
        <w:bCs/>
        <w:sz w:val="22"/>
      </w:rPr>
      <w:t>“ v rámci zriadeného DNS „</w:t>
    </w:r>
    <w:r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2021-04-07T16:45:00Z</dcterms:created>
  <dcterms:modified xsi:type="dcterms:W3CDTF">2021-04-07T16:45:00Z</dcterms:modified>
</cp:coreProperties>
</file>