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01DBE" w14:textId="177DE55C"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4215AD">
        <w:rPr>
          <w:rFonts w:ascii="Times New Roman" w:hAnsi="Times New Roman" w:cs="Times New Roman"/>
          <w:color w:val="auto"/>
          <w:sz w:val="22"/>
          <w:szCs w:val="22"/>
        </w:rPr>
        <w:t>4</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0CAE31D0"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4215AD" w:rsidRPr="004215AD">
        <w:rPr>
          <w:rFonts w:eastAsia="Arial Narrow"/>
          <w:b/>
          <w:sz w:val="22"/>
          <w:szCs w:val="22"/>
        </w:rPr>
        <w:t>Sito na triedenie kompostu</w:t>
      </w:r>
      <w:r w:rsidR="004215AD">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Zmiešavač (mixér) podrveného odpadu</w:t>
      </w:r>
      <w:r w:rsidR="007F1C4C" w:rsidRPr="007F1C4C">
        <w:rPr>
          <w:rFonts w:eastAsia="Arial Narrow"/>
          <w:sz w:val="22"/>
          <w:szCs w:val="22"/>
        </w:rPr>
        <w:t xml:space="preserve">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211CA3E3"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V cene musí byť zahrnuté zaškolenie obsluhy, 48 hodinová servisná pohotovosť</w:t>
      </w:r>
      <w:r w:rsidR="007F1C4C"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636D1D67"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ČLÁNOK XIII.</w:t>
      </w:r>
    </w:p>
    <w:p w14:paraId="6C0DD75A"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ZÁBEZPEKA NA SPLNENIE ZMLUVNýCH ZÁVäZKOV</w:t>
      </w:r>
    </w:p>
    <w:p w14:paraId="6A0B76DA" w14:textId="77777777" w:rsidR="009C48C1" w:rsidRPr="004423A3" w:rsidRDefault="009C48C1" w:rsidP="009C48C1">
      <w:pPr>
        <w:shd w:val="clear" w:color="auto" w:fill="FFF2CC"/>
        <w:ind w:firstLine="720"/>
        <w:jc w:val="center"/>
        <w:rPr>
          <w:b/>
          <w:bCs/>
          <w:noProof/>
          <w:sz w:val="24"/>
          <w:szCs w:val="24"/>
        </w:rPr>
      </w:pPr>
    </w:p>
    <w:p w14:paraId="54DB7D68" w14:textId="77777777" w:rsidR="009C48C1" w:rsidRDefault="009C48C1" w:rsidP="009C48C1">
      <w:pPr>
        <w:ind w:left="720"/>
        <w:rPr>
          <w:bCs/>
          <w:noProof/>
          <w:sz w:val="24"/>
          <w:szCs w:val="24"/>
        </w:rPr>
      </w:pPr>
    </w:p>
    <w:p w14:paraId="0366F46C" w14:textId="77777777" w:rsidR="009C48C1" w:rsidRPr="009C48C1" w:rsidRDefault="009C48C1" w:rsidP="009C48C1">
      <w:pPr>
        <w:pStyle w:val="Odsekzoznamu"/>
        <w:numPr>
          <w:ilvl w:val="0"/>
          <w:numId w:val="19"/>
        </w:numPr>
        <w:jc w:val="both"/>
        <w:rPr>
          <w:noProof/>
          <w:vanish/>
          <w:sz w:val="22"/>
          <w:szCs w:val="22"/>
        </w:rPr>
      </w:pPr>
    </w:p>
    <w:p w14:paraId="1FBB8D75" w14:textId="77777777" w:rsidR="009C48C1" w:rsidRPr="0043046F" w:rsidRDefault="0043046F" w:rsidP="00EE0EEF">
      <w:pPr>
        <w:pStyle w:val="Odsekzoznamu"/>
        <w:numPr>
          <w:ilvl w:val="1"/>
          <w:numId w:val="19"/>
        </w:numPr>
        <w:ind w:left="709" w:hanging="709"/>
        <w:jc w:val="both"/>
        <w:rPr>
          <w:rFonts w:eastAsia="Arial Narrow"/>
          <w:sz w:val="22"/>
          <w:szCs w:val="22"/>
        </w:rPr>
      </w:pPr>
      <w:r w:rsidRPr="0043046F">
        <w:rPr>
          <w:rFonts w:eastAsia="Arial Narrow"/>
          <w:sz w:val="22"/>
          <w:szCs w:val="22"/>
        </w:rPr>
        <w:t>Predávajúci</w:t>
      </w:r>
      <w:r w:rsidR="009C48C1" w:rsidRPr="0043046F">
        <w:rPr>
          <w:noProof/>
          <w:sz w:val="22"/>
          <w:szCs w:val="22"/>
        </w:rPr>
        <w:t xml:space="preserve"> je povinný </w:t>
      </w:r>
      <w:r w:rsidR="00EE0EEF" w:rsidRPr="0043046F">
        <w:rPr>
          <w:noProof/>
          <w:sz w:val="22"/>
          <w:szCs w:val="22"/>
        </w:rPr>
        <w:t xml:space="preserve">preukázať garanciu na splnenie zmluvných záväzkov (ďalej len </w:t>
      </w:r>
      <w:r w:rsidR="00EE0EEF" w:rsidRPr="0043046F">
        <w:rPr>
          <w:rFonts w:eastAsia="Arial Narrow"/>
          <w:sz w:val="22"/>
          <w:szCs w:val="22"/>
        </w:rPr>
        <w:t>„garancia“) vo výške 10% z hodnoty predmetu zmluvy v € bez DPH, definovanej v bode 4.1 tejto zmluvy, a to v lehote do 5 kalendárnych dní od prijatia objednávky na dodanie predmetu zmluvy</w:t>
      </w:r>
      <w:r w:rsidR="009C48C1" w:rsidRPr="0043046F">
        <w:rPr>
          <w:rFonts w:eastAsia="Arial Narrow"/>
          <w:sz w:val="22"/>
          <w:szCs w:val="22"/>
        </w:rPr>
        <w:t>.</w:t>
      </w:r>
    </w:p>
    <w:p w14:paraId="792E7A26"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Predávajúci preukáže garanciu objednávateľovi: a) zložením finančných prostriedkov na účet objednávateľa; b) predložením bankovej záruky vo forme overenej kópie alebo c) záruky poistenia vo forme overenej kópie.</w:t>
      </w:r>
    </w:p>
    <w:p w14:paraId="0710E9F0"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 xml:space="preserve">V prípade vzniku pohľadávky preukázanej garancie zložením finančných prostriedkov na účet objednávateľa, objednávateľ oznámi predávajúcemu výšku tejto pohľadávky a jej úhradu zo sumy zloženej garancie. Výška zloženej garancie sa tým zníži o príslušnú sumu a </w:t>
      </w:r>
      <w:r w:rsidR="00732F60" w:rsidRPr="00282EAD">
        <w:rPr>
          <w:rFonts w:eastAsia="Arial Narrow"/>
          <w:sz w:val="22"/>
          <w:szCs w:val="22"/>
        </w:rPr>
        <w:t>p</w:t>
      </w:r>
      <w:r w:rsidRPr="00282EAD">
        <w:rPr>
          <w:rFonts w:eastAsia="Arial Narrow"/>
          <w:sz w:val="22"/>
          <w:szCs w:val="22"/>
        </w:rPr>
        <w:t xml:space="preserve">redávajúci je povinný najneskôr do 7 dní po doručení takéhoto oznámenia zaplatiť objednávateľovi sumu, ktorou doplní zloženú garanciu na dohodnutú výšku. Nedoplnenie sumy garancie podľa predchádzajúcej vety v stanovenej lehote je porušením zmluvnej povinnosti podstatným spôsobom. Ak predávajúci preukáže garanciu objednávateľovi zložením finančných prostriedkov na účet objednávateľa, objednávateľ vráti garanciu, resp. jej nevyčerpanú časť predávajúcemu až po dodaní celého predmetu zmluvy do 14 dní potom, ako obdrží kópiu </w:t>
      </w:r>
      <w:r w:rsidR="00282EAD" w:rsidRPr="00282EAD">
        <w:rPr>
          <w:noProof/>
          <w:sz w:val="22"/>
          <w:szCs w:val="22"/>
        </w:rPr>
        <w:t>preberacieho – odovzdávacieho protokolu</w:t>
      </w:r>
      <w:r w:rsidRPr="00282EAD">
        <w:rPr>
          <w:rFonts w:eastAsia="Arial Narrow"/>
          <w:sz w:val="22"/>
          <w:szCs w:val="22"/>
        </w:rPr>
        <w:t>.</w:t>
      </w:r>
    </w:p>
    <w:p w14:paraId="2EEB3F7B" w14:textId="77777777" w:rsidR="009C48C1" w:rsidRPr="00555040" w:rsidRDefault="009C48C1" w:rsidP="0029197F">
      <w:pPr>
        <w:rPr>
          <w:bCs/>
          <w:noProof/>
          <w:sz w:val="22"/>
          <w:szCs w:val="22"/>
        </w:rPr>
      </w:pPr>
    </w:p>
    <w:p w14:paraId="11EF1A5E" w14:textId="77777777" w:rsidR="0029197F" w:rsidRPr="00555040" w:rsidRDefault="00095609" w:rsidP="0029197F">
      <w:pPr>
        <w:shd w:val="clear" w:color="auto" w:fill="FFF2CC"/>
        <w:ind w:firstLine="720"/>
        <w:jc w:val="center"/>
        <w:rPr>
          <w:b/>
          <w:bCs/>
          <w:noProof/>
          <w:sz w:val="22"/>
          <w:szCs w:val="22"/>
        </w:rPr>
      </w:pPr>
      <w:r>
        <w:rPr>
          <w:b/>
          <w:bCs/>
          <w:noProof/>
          <w:sz w:val="22"/>
          <w:szCs w:val="22"/>
        </w:rPr>
        <w:t>ČLÁNOK XIV</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w:t>
      </w:r>
      <w:r w:rsidRPr="00555040">
        <w:rPr>
          <w:noProof/>
          <w:sz w:val="22"/>
          <w:szCs w:val="22"/>
        </w:rPr>
        <w:lastRenderedPageBreak/>
        <w:t xml:space="preserve">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57B4D369"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 </w:t>
            </w:r>
            <w:r w:rsidR="004215AD" w:rsidRPr="004215AD">
              <w:rPr>
                <w:rFonts w:ascii="Times New Roman" w:hAnsi="Times New Roman" w:cs="Times New Roman"/>
                <w:noProof/>
                <w:sz w:val="22"/>
                <w:szCs w:val="22"/>
                <w:lang w:val="sk-SK"/>
              </w:rPr>
              <w:t>Sito na triedenie kompostu</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632526B3" w14:textId="77777777" w:rsidR="004215AD" w:rsidRDefault="004215AD" w:rsidP="004215AD">
            <w:pPr>
              <w:rPr>
                <w:b/>
              </w:rPr>
            </w:pPr>
            <w:r w:rsidRPr="00991BA8">
              <w:rPr>
                <w:b/>
              </w:rPr>
              <w:t>Sito na triedenie kompostu</w:t>
            </w:r>
          </w:p>
          <w:p w14:paraId="337F83E9" w14:textId="234A9372" w:rsidR="004B6B34" w:rsidRPr="00555040" w:rsidRDefault="004215AD" w:rsidP="004215AD">
            <w:pPr>
              <w:rPr>
                <w:b/>
                <w:sz w:val="22"/>
                <w:szCs w:val="22"/>
              </w:rPr>
            </w:pPr>
            <w:r w:rsidRPr="00A01073">
              <w:rPr>
                <w:b/>
              </w:rPr>
              <w:t>predpokladaná ročná kapacita 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4215AD" w:rsidRPr="00555040" w14:paraId="7BCA2D59" w14:textId="77777777" w:rsidTr="006B6A48">
        <w:trPr>
          <w:trHeight w:val="280"/>
          <w:jc w:val="center"/>
        </w:trPr>
        <w:tc>
          <w:tcPr>
            <w:tcW w:w="4820" w:type="dxa"/>
          </w:tcPr>
          <w:p w14:paraId="0D4C1D93" w14:textId="200F47F4" w:rsidR="004215AD" w:rsidRPr="00555040" w:rsidRDefault="004215AD" w:rsidP="004215AD">
            <w:pPr>
              <w:rPr>
                <w:sz w:val="22"/>
                <w:szCs w:val="22"/>
              </w:rPr>
            </w:pPr>
            <w:r w:rsidRPr="006F2F7A">
              <w:t xml:space="preserve">pohon pracovnej časti </w:t>
            </w:r>
            <w:proofErr w:type="spellStart"/>
            <w:r w:rsidRPr="006F2F7A">
              <w:t>diesel</w:t>
            </w:r>
            <w:proofErr w:type="spellEnd"/>
            <w:r w:rsidRPr="006F2F7A">
              <w:t xml:space="preserve"> motorom </w:t>
            </w:r>
          </w:p>
        </w:tc>
        <w:tc>
          <w:tcPr>
            <w:tcW w:w="2268" w:type="dxa"/>
            <w:vAlign w:val="center"/>
          </w:tcPr>
          <w:p w14:paraId="3C174EF8" w14:textId="05481DF5" w:rsidR="004215AD" w:rsidRPr="00555040" w:rsidRDefault="004215AD" w:rsidP="004215AD">
            <w:pPr>
              <w:rPr>
                <w:sz w:val="22"/>
                <w:szCs w:val="22"/>
              </w:rPr>
            </w:pPr>
            <w:r w:rsidRPr="006F2F7A">
              <w:t>s min. výkonom 55 kW</w:t>
            </w:r>
          </w:p>
        </w:tc>
        <w:tc>
          <w:tcPr>
            <w:tcW w:w="2268" w:type="dxa"/>
          </w:tcPr>
          <w:p w14:paraId="653D4D45" w14:textId="77777777" w:rsidR="004215AD" w:rsidRPr="00555040" w:rsidRDefault="004215AD" w:rsidP="004215AD">
            <w:pPr>
              <w:rPr>
                <w:sz w:val="22"/>
                <w:szCs w:val="22"/>
              </w:rPr>
            </w:pPr>
          </w:p>
        </w:tc>
      </w:tr>
      <w:tr w:rsidR="004215AD" w:rsidRPr="00555040" w14:paraId="29239014" w14:textId="77777777" w:rsidTr="006B6A48">
        <w:trPr>
          <w:trHeight w:val="280"/>
          <w:jc w:val="center"/>
        </w:trPr>
        <w:tc>
          <w:tcPr>
            <w:tcW w:w="4820" w:type="dxa"/>
          </w:tcPr>
          <w:p w14:paraId="163AB502" w14:textId="3AB1E9F7" w:rsidR="004215AD" w:rsidRPr="00555040" w:rsidRDefault="004215AD" w:rsidP="004215AD">
            <w:pPr>
              <w:rPr>
                <w:sz w:val="22"/>
                <w:szCs w:val="22"/>
              </w:rPr>
            </w:pPr>
            <w:r w:rsidRPr="006F2F7A">
              <w:t xml:space="preserve">motor spĺňajúci emisnú normu </w:t>
            </w:r>
          </w:p>
        </w:tc>
        <w:tc>
          <w:tcPr>
            <w:tcW w:w="2268" w:type="dxa"/>
            <w:vAlign w:val="center"/>
          </w:tcPr>
          <w:p w14:paraId="653EC300" w14:textId="566977C7" w:rsidR="004215AD" w:rsidRPr="00555040" w:rsidRDefault="004215AD" w:rsidP="004215AD">
            <w:pPr>
              <w:rPr>
                <w:sz w:val="22"/>
                <w:szCs w:val="22"/>
              </w:rPr>
            </w:pPr>
            <w:r w:rsidRPr="006F2F7A">
              <w:t xml:space="preserve">min. Euro </w:t>
            </w:r>
            <w:proofErr w:type="spellStart"/>
            <w:r w:rsidRPr="006F2F7A">
              <w:t>Stage</w:t>
            </w:r>
            <w:proofErr w:type="spellEnd"/>
            <w:r w:rsidRPr="006F2F7A">
              <w:t xml:space="preserve"> V</w:t>
            </w:r>
          </w:p>
        </w:tc>
        <w:tc>
          <w:tcPr>
            <w:tcW w:w="2268" w:type="dxa"/>
          </w:tcPr>
          <w:p w14:paraId="33CBB676" w14:textId="77777777" w:rsidR="004215AD" w:rsidRPr="00555040" w:rsidRDefault="004215AD" w:rsidP="004215AD">
            <w:pPr>
              <w:rPr>
                <w:sz w:val="22"/>
                <w:szCs w:val="22"/>
              </w:rPr>
            </w:pPr>
          </w:p>
        </w:tc>
      </w:tr>
      <w:tr w:rsidR="004215AD" w:rsidRPr="00555040" w14:paraId="65E42A07" w14:textId="77777777" w:rsidTr="006B6A48">
        <w:trPr>
          <w:trHeight w:val="280"/>
          <w:jc w:val="center"/>
        </w:trPr>
        <w:tc>
          <w:tcPr>
            <w:tcW w:w="4820" w:type="dxa"/>
          </w:tcPr>
          <w:p w14:paraId="545B267B" w14:textId="2724FF56" w:rsidR="004215AD" w:rsidRPr="00555040" w:rsidRDefault="004215AD" w:rsidP="004215AD">
            <w:pPr>
              <w:rPr>
                <w:sz w:val="22"/>
                <w:szCs w:val="22"/>
              </w:rPr>
            </w:pPr>
            <w:r w:rsidRPr="006F2F7A">
              <w:t xml:space="preserve">možnosť </w:t>
            </w:r>
            <w:proofErr w:type="spellStart"/>
            <w:r w:rsidRPr="006F2F7A">
              <w:t>výsuvu</w:t>
            </w:r>
            <w:proofErr w:type="spellEnd"/>
            <w:r w:rsidRPr="006F2F7A">
              <w:t xml:space="preserve"> motorovej jednotky mimo stroj (servisný prístup)</w:t>
            </w:r>
          </w:p>
        </w:tc>
        <w:tc>
          <w:tcPr>
            <w:tcW w:w="2268" w:type="dxa"/>
            <w:vAlign w:val="center"/>
          </w:tcPr>
          <w:p w14:paraId="47E02702" w14:textId="51644B40" w:rsidR="004215AD" w:rsidRPr="00555040" w:rsidRDefault="004215AD" w:rsidP="004215AD">
            <w:pPr>
              <w:rPr>
                <w:sz w:val="22"/>
                <w:szCs w:val="22"/>
              </w:rPr>
            </w:pPr>
            <w:r>
              <w:t>áno</w:t>
            </w:r>
          </w:p>
        </w:tc>
        <w:tc>
          <w:tcPr>
            <w:tcW w:w="2268" w:type="dxa"/>
          </w:tcPr>
          <w:p w14:paraId="7D4547E5" w14:textId="77777777" w:rsidR="004215AD" w:rsidRPr="00555040" w:rsidRDefault="004215AD" w:rsidP="004215AD">
            <w:pPr>
              <w:rPr>
                <w:sz w:val="22"/>
                <w:szCs w:val="22"/>
              </w:rPr>
            </w:pPr>
          </w:p>
        </w:tc>
      </w:tr>
      <w:tr w:rsidR="004215AD" w:rsidRPr="00555040" w14:paraId="07C18D85" w14:textId="77777777" w:rsidTr="006B6A48">
        <w:trPr>
          <w:trHeight w:val="280"/>
          <w:jc w:val="center"/>
        </w:trPr>
        <w:tc>
          <w:tcPr>
            <w:tcW w:w="4820" w:type="dxa"/>
          </w:tcPr>
          <w:p w14:paraId="7D2D48E6" w14:textId="0FA7BB42" w:rsidR="004215AD" w:rsidRPr="00555040" w:rsidRDefault="004215AD" w:rsidP="004215AD">
            <w:pPr>
              <w:rPr>
                <w:sz w:val="22"/>
                <w:szCs w:val="22"/>
              </w:rPr>
            </w:pPr>
            <w:r w:rsidRPr="006F2F7A">
              <w:t>systém umožňujúci použiť na stroji hviezdicový triediaci  adaptér výmenou za rotačný triediaci bubon</w:t>
            </w:r>
          </w:p>
        </w:tc>
        <w:tc>
          <w:tcPr>
            <w:tcW w:w="2268" w:type="dxa"/>
          </w:tcPr>
          <w:p w14:paraId="4D529125" w14:textId="30C780C2" w:rsidR="004215AD" w:rsidRPr="00555040" w:rsidRDefault="004215AD" w:rsidP="004215AD">
            <w:pPr>
              <w:rPr>
                <w:sz w:val="22"/>
                <w:szCs w:val="22"/>
              </w:rPr>
            </w:pPr>
            <w:r>
              <w:t>áno</w:t>
            </w:r>
          </w:p>
        </w:tc>
        <w:tc>
          <w:tcPr>
            <w:tcW w:w="2268" w:type="dxa"/>
          </w:tcPr>
          <w:p w14:paraId="7397205D" w14:textId="77777777" w:rsidR="004215AD" w:rsidRPr="00555040" w:rsidRDefault="004215AD" w:rsidP="004215AD">
            <w:pPr>
              <w:rPr>
                <w:sz w:val="22"/>
                <w:szCs w:val="22"/>
              </w:rPr>
            </w:pPr>
          </w:p>
        </w:tc>
      </w:tr>
      <w:tr w:rsidR="004215AD" w:rsidRPr="00555040" w14:paraId="3846848E" w14:textId="77777777" w:rsidTr="006B6A48">
        <w:trPr>
          <w:trHeight w:val="280"/>
          <w:jc w:val="center"/>
        </w:trPr>
        <w:tc>
          <w:tcPr>
            <w:tcW w:w="4820" w:type="dxa"/>
          </w:tcPr>
          <w:p w14:paraId="275ED300" w14:textId="70A36BA3" w:rsidR="004215AD" w:rsidRPr="00555040" w:rsidRDefault="004215AD" w:rsidP="004215AD">
            <w:pPr>
              <w:rPr>
                <w:sz w:val="22"/>
                <w:szCs w:val="22"/>
              </w:rPr>
            </w:pPr>
            <w:r w:rsidRPr="006F2F7A">
              <w:t xml:space="preserve">palivová nádrž </w:t>
            </w:r>
          </w:p>
        </w:tc>
        <w:tc>
          <w:tcPr>
            <w:tcW w:w="2268" w:type="dxa"/>
          </w:tcPr>
          <w:p w14:paraId="7BD17CDD" w14:textId="48655243" w:rsidR="004215AD" w:rsidRPr="00555040" w:rsidRDefault="004215AD" w:rsidP="004215AD">
            <w:pPr>
              <w:rPr>
                <w:sz w:val="22"/>
                <w:szCs w:val="22"/>
              </w:rPr>
            </w:pPr>
            <w:r w:rsidRPr="006F2F7A">
              <w:t>s objemom min. 300 l</w:t>
            </w:r>
          </w:p>
        </w:tc>
        <w:tc>
          <w:tcPr>
            <w:tcW w:w="2268" w:type="dxa"/>
          </w:tcPr>
          <w:p w14:paraId="2EB030A2" w14:textId="77777777" w:rsidR="004215AD" w:rsidRPr="00555040" w:rsidRDefault="004215AD" w:rsidP="004215AD">
            <w:pPr>
              <w:rPr>
                <w:sz w:val="22"/>
                <w:szCs w:val="22"/>
              </w:rPr>
            </w:pPr>
          </w:p>
        </w:tc>
      </w:tr>
      <w:tr w:rsidR="004215AD" w:rsidRPr="00555040" w14:paraId="4AFF5C6D" w14:textId="77777777" w:rsidTr="00A5233E">
        <w:trPr>
          <w:trHeight w:val="280"/>
          <w:jc w:val="center"/>
        </w:trPr>
        <w:tc>
          <w:tcPr>
            <w:tcW w:w="4820" w:type="dxa"/>
          </w:tcPr>
          <w:p w14:paraId="0457FCED" w14:textId="7211AC87" w:rsidR="004215AD" w:rsidRPr="00555040" w:rsidRDefault="004215AD" w:rsidP="004215AD">
            <w:pPr>
              <w:rPr>
                <w:sz w:val="22"/>
                <w:szCs w:val="22"/>
              </w:rPr>
            </w:pPr>
            <w:r w:rsidRPr="006F2F7A">
              <w:t>samočistiaci systém chladiča motora</w:t>
            </w:r>
          </w:p>
        </w:tc>
        <w:tc>
          <w:tcPr>
            <w:tcW w:w="2268" w:type="dxa"/>
            <w:vAlign w:val="center"/>
          </w:tcPr>
          <w:p w14:paraId="3E8ED28F" w14:textId="2B14AF3B" w:rsidR="004215AD" w:rsidRPr="00555040" w:rsidRDefault="004215AD" w:rsidP="004215AD">
            <w:pPr>
              <w:rPr>
                <w:sz w:val="22"/>
                <w:szCs w:val="22"/>
              </w:rPr>
            </w:pPr>
            <w:r>
              <w:t>áno</w:t>
            </w:r>
          </w:p>
        </w:tc>
        <w:tc>
          <w:tcPr>
            <w:tcW w:w="2268" w:type="dxa"/>
          </w:tcPr>
          <w:p w14:paraId="08309636" w14:textId="77777777" w:rsidR="004215AD" w:rsidRPr="00555040" w:rsidRDefault="004215AD" w:rsidP="004215AD">
            <w:pPr>
              <w:rPr>
                <w:sz w:val="22"/>
                <w:szCs w:val="22"/>
              </w:rPr>
            </w:pPr>
          </w:p>
        </w:tc>
      </w:tr>
      <w:tr w:rsidR="004215AD" w:rsidRPr="00555040" w14:paraId="2E40B07E" w14:textId="77777777" w:rsidTr="006B6A48">
        <w:trPr>
          <w:trHeight w:val="280"/>
          <w:jc w:val="center"/>
        </w:trPr>
        <w:tc>
          <w:tcPr>
            <w:tcW w:w="4820" w:type="dxa"/>
          </w:tcPr>
          <w:p w14:paraId="41898E06" w14:textId="53932B65" w:rsidR="004215AD" w:rsidRPr="00555040" w:rsidRDefault="004215AD" w:rsidP="004215AD">
            <w:pPr>
              <w:rPr>
                <w:sz w:val="22"/>
                <w:szCs w:val="22"/>
              </w:rPr>
            </w:pPr>
            <w:r w:rsidRPr="006F2F7A">
              <w:t>centrálne sústredené mazacie body stroja, alebo automatický mazací systém stroja</w:t>
            </w:r>
          </w:p>
        </w:tc>
        <w:tc>
          <w:tcPr>
            <w:tcW w:w="2268" w:type="dxa"/>
            <w:vAlign w:val="center"/>
          </w:tcPr>
          <w:p w14:paraId="551A6082" w14:textId="4FF4AE09" w:rsidR="004215AD" w:rsidRPr="00555040" w:rsidRDefault="004215AD" w:rsidP="004215AD">
            <w:pPr>
              <w:rPr>
                <w:sz w:val="22"/>
                <w:szCs w:val="22"/>
              </w:rPr>
            </w:pPr>
            <w:r>
              <w:rPr>
                <w:rFonts w:eastAsia="Tahoma"/>
              </w:rPr>
              <w:t>áno</w:t>
            </w:r>
          </w:p>
        </w:tc>
        <w:tc>
          <w:tcPr>
            <w:tcW w:w="2268" w:type="dxa"/>
          </w:tcPr>
          <w:p w14:paraId="6FF53D61" w14:textId="77777777" w:rsidR="004215AD" w:rsidRPr="00555040" w:rsidRDefault="004215AD" w:rsidP="004215AD">
            <w:pPr>
              <w:rPr>
                <w:sz w:val="22"/>
                <w:szCs w:val="22"/>
              </w:rPr>
            </w:pPr>
          </w:p>
        </w:tc>
      </w:tr>
      <w:tr w:rsidR="004215AD" w:rsidRPr="00555040" w14:paraId="6087FB90" w14:textId="77777777" w:rsidTr="00A5233E">
        <w:trPr>
          <w:trHeight w:val="280"/>
          <w:jc w:val="center"/>
        </w:trPr>
        <w:tc>
          <w:tcPr>
            <w:tcW w:w="4820" w:type="dxa"/>
          </w:tcPr>
          <w:p w14:paraId="02BFAE2A" w14:textId="78C58222" w:rsidR="004215AD" w:rsidRPr="00555040" w:rsidRDefault="004215AD" w:rsidP="004215AD">
            <w:pPr>
              <w:rPr>
                <w:sz w:val="22"/>
                <w:szCs w:val="22"/>
              </w:rPr>
            </w:pPr>
            <w:r w:rsidRPr="006F2F7A">
              <w:t xml:space="preserve">pracovná dĺžka bubna </w:t>
            </w:r>
          </w:p>
        </w:tc>
        <w:tc>
          <w:tcPr>
            <w:tcW w:w="2268" w:type="dxa"/>
          </w:tcPr>
          <w:p w14:paraId="0E893350" w14:textId="4C1E3DA6" w:rsidR="004215AD" w:rsidRPr="00555040" w:rsidRDefault="004215AD" w:rsidP="004215AD">
            <w:pPr>
              <w:rPr>
                <w:sz w:val="22"/>
                <w:szCs w:val="22"/>
              </w:rPr>
            </w:pPr>
            <w:r w:rsidRPr="006F2F7A">
              <w:t>min. 4500 mm</w:t>
            </w:r>
          </w:p>
        </w:tc>
        <w:tc>
          <w:tcPr>
            <w:tcW w:w="2268" w:type="dxa"/>
          </w:tcPr>
          <w:p w14:paraId="4082446E" w14:textId="77777777" w:rsidR="004215AD" w:rsidRPr="00555040" w:rsidRDefault="004215AD" w:rsidP="004215AD">
            <w:pPr>
              <w:rPr>
                <w:sz w:val="22"/>
                <w:szCs w:val="22"/>
              </w:rPr>
            </w:pPr>
          </w:p>
        </w:tc>
      </w:tr>
      <w:tr w:rsidR="004215AD" w:rsidRPr="00555040" w14:paraId="1815F1F4" w14:textId="77777777" w:rsidTr="00A5233E">
        <w:trPr>
          <w:trHeight w:val="280"/>
          <w:jc w:val="center"/>
        </w:trPr>
        <w:tc>
          <w:tcPr>
            <w:tcW w:w="4820" w:type="dxa"/>
          </w:tcPr>
          <w:p w14:paraId="5BCAA7B7" w14:textId="3F2FE757" w:rsidR="004215AD" w:rsidRPr="00555040" w:rsidRDefault="004215AD" w:rsidP="004215AD">
            <w:pPr>
              <w:rPr>
                <w:sz w:val="22"/>
                <w:szCs w:val="22"/>
              </w:rPr>
            </w:pPr>
            <w:r w:rsidRPr="006F2F7A">
              <w:t xml:space="preserve">priemer rotačného bubna </w:t>
            </w:r>
          </w:p>
        </w:tc>
        <w:tc>
          <w:tcPr>
            <w:tcW w:w="2268" w:type="dxa"/>
          </w:tcPr>
          <w:p w14:paraId="0891009C" w14:textId="2BCACCDF" w:rsidR="004215AD" w:rsidRPr="00555040" w:rsidRDefault="004215AD" w:rsidP="004215AD">
            <w:pPr>
              <w:rPr>
                <w:sz w:val="22"/>
                <w:szCs w:val="22"/>
              </w:rPr>
            </w:pPr>
            <w:r w:rsidRPr="006F2F7A">
              <w:t>min.. 1800 mm</w:t>
            </w:r>
          </w:p>
        </w:tc>
        <w:tc>
          <w:tcPr>
            <w:tcW w:w="2268" w:type="dxa"/>
          </w:tcPr>
          <w:p w14:paraId="3DD10E14" w14:textId="77777777" w:rsidR="004215AD" w:rsidRPr="00555040" w:rsidRDefault="004215AD" w:rsidP="004215AD">
            <w:pPr>
              <w:rPr>
                <w:sz w:val="22"/>
                <w:szCs w:val="22"/>
              </w:rPr>
            </w:pPr>
          </w:p>
        </w:tc>
      </w:tr>
      <w:tr w:rsidR="004215AD" w:rsidRPr="00555040" w14:paraId="123058C4" w14:textId="77777777" w:rsidTr="006B6A48">
        <w:trPr>
          <w:trHeight w:val="280"/>
          <w:jc w:val="center"/>
        </w:trPr>
        <w:tc>
          <w:tcPr>
            <w:tcW w:w="4820" w:type="dxa"/>
          </w:tcPr>
          <w:p w14:paraId="1CEFEB92" w14:textId="1E225FCE" w:rsidR="004215AD" w:rsidRPr="00555040" w:rsidRDefault="004215AD" w:rsidP="004215AD">
            <w:pPr>
              <w:rPr>
                <w:sz w:val="22"/>
                <w:szCs w:val="22"/>
              </w:rPr>
            </w:pPr>
            <w:r w:rsidRPr="006F2F7A">
              <w:t xml:space="preserve">pracovná plocha triediča </w:t>
            </w:r>
          </w:p>
        </w:tc>
        <w:tc>
          <w:tcPr>
            <w:tcW w:w="2268" w:type="dxa"/>
          </w:tcPr>
          <w:p w14:paraId="3B2CEFEB" w14:textId="27C21EAE" w:rsidR="004215AD" w:rsidRPr="00555040" w:rsidRDefault="004215AD" w:rsidP="004215AD">
            <w:pPr>
              <w:rPr>
                <w:sz w:val="22"/>
                <w:szCs w:val="22"/>
              </w:rPr>
            </w:pPr>
            <w:r w:rsidRPr="006F2F7A">
              <w:t>min. 22 m2</w:t>
            </w:r>
          </w:p>
        </w:tc>
        <w:tc>
          <w:tcPr>
            <w:tcW w:w="2268" w:type="dxa"/>
          </w:tcPr>
          <w:p w14:paraId="45FCE6D5" w14:textId="77777777" w:rsidR="004215AD" w:rsidRPr="00555040" w:rsidRDefault="004215AD" w:rsidP="004215AD">
            <w:pPr>
              <w:rPr>
                <w:sz w:val="22"/>
                <w:szCs w:val="22"/>
              </w:rPr>
            </w:pPr>
          </w:p>
        </w:tc>
      </w:tr>
      <w:tr w:rsidR="004215AD" w:rsidRPr="00555040" w14:paraId="36ED03F2" w14:textId="77777777" w:rsidTr="002235D1">
        <w:trPr>
          <w:trHeight w:val="280"/>
          <w:jc w:val="center"/>
        </w:trPr>
        <w:tc>
          <w:tcPr>
            <w:tcW w:w="4820" w:type="dxa"/>
          </w:tcPr>
          <w:p w14:paraId="7890F17B" w14:textId="5D1FBF91" w:rsidR="004215AD" w:rsidRPr="005551F1" w:rsidRDefault="004215AD" w:rsidP="004215AD">
            <w:r w:rsidRPr="006F2F7A">
              <w:t xml:space="preserve">objem vstupnej násypky </w:t>
            </w:r>
          </w:p>
        </w:tc>
        <w:tc>
          <w:tcPr>
            <w:tcW w:w="2268" w:type="dxa"/>
            <w:vAlign w:val="center"/>
          </w:tcPr>
          <w:p w14:paraId="6B8CFB5C" w14:textId="26050D05" w:rsidR="004215AD" w:rsidRPr="005551F1" w:rsidRDefault="004215AD" w:rsidP="004215AD">
            <w:r w:rsidRPr="006F2F7A">
              <w:t>min. 5m3</w:t>
            </w:r>
          </w:p>
        </w:tc>
        <w:tc>
          <w:tcPr>
            <w:tcW w:w="2268" w:type="dxa"/>
          </w:tcPr>
          <w:p w14:paraId="1A93E60B" w14:textId="77777777" w:rsidR="004215AD" w:rsidRPr="00555040" w:rsidRDefault="004215AD" w:rsidP="004215AD">
            <w:pPr>
              <w:rPr>
                <w:sz w:val="22"/>
                <w:szCs w:val="22"/>
              </w:rPr>
            </w:pPr>
          </w:p>
        </w:tc>
      </w:tr>
      <w:tr w:rsidR="004215AD" w:rsidRPr="00555040" w14:paraId="35D1E8B3" w14:textId="77777777" w:rsidTr="002235D1">
        <w:trPr>
          <w:trHeight w:val="280"/>
          <w:jc w:val="center"/>
        </w:trPr>
        <w:tc>
          <w:tcPr>
            <w:tcW w:w="4820" w:type="dxa"/>
          </w:tcPr>
          <w:p w14:paraId="51F936CD" w14:textId="2AD14F83" w:rsidR="004215AD" w:rsidRPr="005551F1" w:rsidRDefault="004215AD" w:rsidP="004215AD">
            <w:r w:rsidRPr="006F2F7A">
              <w:t xml:space="preserve">plynulá regulácia otáčok pracovného bubna </w:t>
            </w:r>
          </w:p>
        </w:tc>
        <w:tc>
          <w:tcPr>
            <w:tcW w:w="2268" w:type="dxa"/>
            <w:vAlign w:val="center"/>
          </w:tcPr>
          <w:p w14:paraId="60B84849" w14:textId="3AE40E23" w:rsidR="004215AD" w:rsidRPr="005551F1" w:rsidRDefault="004215AD" w:rsidP="004215AD">
            <w:r w:rsidRPr="006F2F7A">
              <w:t xml:space="preserve">v rozmedzí min. 0 – 21 </w:t>
            </w:r>
            <w:proofErr w:type="spellStart"/>
            <w:r w:rsidRPr="006F2F7A">
              <w:t>ot</w:t>
            </w:r>
            <w:proofErr w:type="spellEnd"/>
            <w:r w:rsidRPr="006F2F7A">
              <w:t>./min</w:t>
            </w:r>
          </w:p>
        </w:tc>
        <w:tc>
          <w:tcPr>
            <w:tcW w:w="2268" w:type="dxa"/>
          </w:tcPr>
          <w:p w14:paraId="18BA155A" w14:textId="77777777" w:rsidR="004215AD" w:rsidRPr="00555040" w:rsidRDefault="004215AD" w:rsidP="004215AD">
            <w:pPr>
              <w:rPr>
                <w:sz w:val="22"/>
                <w:szCs w:val="22"/>
              </w:rPr>
            </w:pPr>
          </w:p>
        </w:tc>
      </w:tr>
      <w:tr w:rsidR="004215AD" w:rsidRPr="00555040" w14:paraId="09CE6C90" w14:textId="77777777" w:rsidTr="002235D1">
        <w:trPr>
          <w:trHeight w:val="280"/>
          <w:jc w:val="center"/>
        </w:trPr>
        <w:tc>
          <w:tcPr>
            <w:tcW w:w="4820" w:type="dxa"/>
          </w:tcPr>
          <w:p w14:paraId="4C53C11D" w14:textId="59FF1B5F" w:rsidR="004215AD" w:rsidRPr="005551F1" w:rsidRDefault="004215AD" w:rsidP="004215AD">
            <w:r w:rsidRPr="006F2F7A">
              <w:t>automatická optimalizácia využitia triediacej plochy bubna pomocou plynulej regulácie v závislosti od zaťaženia stroja</w:t>
            </w:r>
          </w:p>
        </w:tc>
        <w:tc>
          <w:tcPr>
            <w:tcW w:w="2268" w:type="dxa"/>
            <w:vAlign w:val="center"/>
          </w:tcPr>
          <w:p w14:paraId="442465C7" w14:textId="2AC9F05E" w:rsidR="004215AD" w:rsidRPr="005551F1" w:rsidRDefault="004215AD" w:rsidP="004215AD">
            <w:r>
              <w:rPr>
                <w:rFonts w:eastAsia="Tahoma"/>
              </w:rPr>
              <w:t>áno</w:t>
            </w:r>
          </w:p>
        </w:tc>
        <w:tc>
          <w:tcPr>
            <w:tcW w:w="2268" w:type="dxa"/>
          </w:tcPr>
          <w:p w14:paraId="436160E1" w14:textId="77777777" w:rsidR="004215AD" w:rsidRPr="00555040" w:rsidRDefault="004215AD" w:rsidP="004215AD">
            <w:pPr>
              <w:rPr>
                <w:sz w:val="22"/>
                <w:szCs w:val="22"/>
              </w:rPr>
            </w:pPr>
          </w:p>
        </w:tc>
      </w:tr>
      <w:tr w:rsidR="004215AD" w:rsidRPr="00555040" w14:paraId="4144D10C" w14:textId="77777777" w:rsidTr="002235D1">
        <w:trPr>
          <w:trHeight w:val="280"/>
          <w:jc w:val="center"/>
        </w:trPr>
        <w:tc>
          <w:tcPr>
            <w:tcW w:w="4820" w:type="dxa"/>
          </w:tcPr>
          <w:p w14:paraId="58A3F4AF" w14:textId="20170C5C" w:rsidR="004215AD" w:rsidRDefault="004215AD" w:rsidP="004215AD">
            <w:pPr>
              <w:rPr>
                <w:bCs/>
              </w:rPr>
            </w:pPr>
            <w:r w:rsidRPr="006F2F7A">
              <w:t xml:space="preserve">hydraulicky sklopný čistiaci </w:t>
            </w:r>
            <w:proofErr w:type="spellStart"/>
            <w:r w:rsidRPr="006F2F7A">
              <w:t>kartáč</w:t>
            </w:r>
            <w:proofErr w:type="spellEnd"/>
            <w:r w:rsidRPr="006F2F7A">
              <w:t xml:space="preserve"> bubna s priemerom </w:t>
            </w:r>
          </w:p>
        </w:tc>
        <w:tc>
          <w:tcPr>
            <w:tcW w:w="2268" w:type="dxa"/>
            <w:vAlign w:val="center"/>
          </w:tcPr>
          <w:p w14:paraId="24EEC7E6" w14:textId="2F41E077" w:rsidR="004215AD" w:rsidRDefault="004215AD" w:rsidP="004215AD">
            <w:pPr>
              <w:rPr>
                <w:rFonts w:eastAsia="Cambria"/>
              </w:rPr>
            </w:pPr>
            <w:r w:rsidRPr="006F2F7A">
              <w:t>min. 550 mm</w:t>
            </w:r>
          </w:p>
        </w:tc>
        <w:tc>
          <w:tcPr>
            <w:tcW w:w="2268" w:type="dxa"/>
          </w:tcPr>
          <w:p w14:paraId="777792BA" w14:textId="77777777" w:rsidR="004215AD" w:rsidRPr="00555040" w:rsidRDefault="004215AD" w:rsidP="004215AD">
            <w:pPr>
              <w:rPr>
                <w:sz w:val="22"/>
                <w:szCs w:val="22"/>
              </w:rPr>
            </w:pPr>
          </w:p>
        </w:tc>
      </w:tr>
      <w:tr w:rsidR="004215AD" w:rsidRPr="00555040" w14:paraId="7B761F3E" w14:textId="77777777" w:rsidTr="006B6A48">
        <w:trPr>
          <w:trHeight w:val="280"/>
          <w:jc w:val="center"/>
        </w:trPr>
        <w:tc>
          <w:tcPr>
            <w:tcW w:w="4820" w:type="dxa"/>
          </w:tcPr>
          <w:p w14:paraId="23F47452" w14:textId="0D4D142B" w:rsidR="004215AD" w:rsidRDefault="004215AD" w:rsidP="004215AD">
            <w:pPr>
              <w:rPr>
                <w:bCs/>
              </w:rPr>
            </w:pPr>
            <w:proofErr w:type="spellStart"/>
            <w:r>
              <w:t>vynášacie</w:t>
            </w:r>
            <w:proofErr w:type="spellEnd"/>
            <w:r>
              <w:t xml:space="preserve"> dopravníky</w:t>
            </w:r>
          </w:p>
        </w:tc>
        <w:tc>
          <w:tcPr>
            <w:tcW w:w="2268" w:type="dxa"/>
          </w:tcPr>
          <w:p w14:paraId="741F3E1C" w14:textId="610B6E6A" w:rsidR="004215AD" w:rsidRDefault="004215AD" w:rsidP="004215AD">
            <w:pPr>
              <w:rPr>
                <w:rFonts w:eastAsia="Cambria"/>
              </w:rPr>
            </w:pPr>
            <w:r>
              <w:t xml:space="preserve">dĺžka </w:t>
            </w:r>
            <w:r w:rsidRPr="006F2F7A">
              <w:t>min. 5500 mm a šírka min. 700 mm</w:t>
            </w:r>
          </w:p>
        </w:tc>
        <w:tc>
          <w:tcPr>
            <w:tcW w:w="2268" w:type="dxa"/>
          </w:tcPr>
          <w:p w14:paraId="6D9EAD95" w14:textId="77777777" w:rsidR="004215AD" w:rsidRPr="00555040" w:rsidRDefault="004215AD" w:rsidP="004215AD">
            <w:pPr>
              <w:rPr>
                <w:sz w:val="22"/>
                <w:szCs w:val="22"/>
              </w:rPr>
            </w:pPr>
          </w:p>
        </w:tc>
      </w:tr>
      <w:tr w:rsidR="004215AD" w:rsidRPr="00555040" w14:paraId="049AC1C0" w14:textId="77777777" w:rsidTr="006B6A48">
        <w:trPr>
          <w:trHeight w:val="280"/>
          <w:jc w:val="center"/>
        </w:trPr>
        <w:tc>
          <w:tcPr>
            <w:tcW w:w="4820" w:type="dxa"/>
          </w:tcPr>
          <w:p w14:paraId="7DBFD8A7" w14:textId="0E97CC93" w:rsidR="004215AD" w:rsidRDefault="004215AD" w:rsidP="004215AD">
            <w:pPr>
              <w:rPr>
                <w:bCs/>
              </w:rPr>
            </w:pPr>
            <w:proofErr w:type="spellStart"/>
            <w:r w:rsidRPr="006F2F7A">
              <w:t>nakl</w:t>
            </w:r>
            <w:proofErr w:type="spellEnd"/>
            <w:r w:rsidRPr="006F2F7A">
              <w:t xml:space="preserve">. výška </w:t>
            </w:r>
            <w:proofErr w:type="spellStart"/>
            <w:r w:rsidRPr="006F2F7A">
              <w:t>vynášacích</w:t>
            </w:r>
            <w:proofErr w:type="spellEnd"/>
            <w:r w:rsidRPr="006F2F7A">
              <w:t xml:space="preserve"> dopravníkov </w:t>
            </w:r>
          </w:p>
        </w:tc>
        <w:tc>
          <w:tcPr>
            <w:tcW w:w="2268" w:type="dxa"/>
          </w:tcPr>
          <w:p w14:paraId="43E78936" w14:textId="708FE4BD" w:rsidR="004215AD" w:rsidRDefault="004215AD" w:rsidP="004215AD">
            <w:pPr>
              <w:rPr>
                <w:rFonts w:eastAsia="Cambria"/>
              </w:rPr>
            </w:pPr>
            <w:r w:rsidRPr="006F2F7A">
              <w:t>min. 3500 mm</w:t>
            </w:r>
          </w:p>
        </w:tc>
        <w:tc>
          <w:tcPr>
            <w:tcW w:w="2268" w:type="dxa"/>
          </w:tcPr>
          <w:p w14:paraId="2487B0EA" w14:textId="77777777" w:rsidR="004215AD" w:rsidRPr="00555040" w:rsidRDefault="004215AD" w:rsidP="004215AD">
            <w:pPr>
              <w:rPr>
                <w:sz w:val="22"/>
                <w:szCs w:val="22"/>
              </w:rPr>
            </w:pPr>
          </w:p>
        </w:tc>
      </w:tr>
      <w:tr w:rsidR="004215AD" w:rsidRPr="00555040" w14:paraId="307769B1" w14:textId="77777777" w:rsidTr="006B6A48">
        <w:trPr>
          <w:trHeight w:val="280"/>
          <w:jc w:val="center"/>
        </w:trPr>
        <w:tc>
          <w:tcPr>
            <w:tcW w:w="4820" w:type="dxa"/>
          </w:tcPr>
          <w:p w14:paraId="2D2DAEDE" w14:textId="5B470F7C" w:rsidR="004215AD" w:rsidRDefault="004215AD" w:rsidP="004215AD">
            <w:pPr>
              <w:rPr>
                <w:bCs/>
              </w:rPr>
            </w:pPr>
            <w:r w:rsidRPr="006F2F7A">
              <w:t>min. tandemový podvozok</w:t>
            </w:r>
          </w:p>
        </w:tc>
        <w:tc>
          <w:tcPr>
            <w:tcW w:w="2268" w:type="dxa"/>
          </w:tcPr>
          <w:p w14:paraId="4C9A54B6" w14:textId="5029E662" w:rsidR="004215AD" w:rsidRDefault="004215AD" w:rsidP="004215AD">
            <w:pPr>
              <w:rPr>
                <w:rFonts w:eastAsia="Cambria"/>
              </w:rPr>
            </w:pPr>
            <w:r w:rsidRPr="006F2F7A">
              <w:t>príves min. 80 km/hod. ( homologovaný na premávku po pozemných komunikáciách), vybavený ABS,</w:t>
            </w:r>
          </w:p>
        </w:tc>
        <w:tc>
          <w:tcPr>
            <w:tcW w:w="2268" w:type="dxa"/>
          </w:tcPr>
          <w:p w14:paraId="57B0B0B1" w14:textId="77777777" w:rsidR="004215AD" w:rsidRPr="00555040" w:rsidRDefault="004215AD" w:rsidP="004215AD">
            <w:pPr>
              <w:rPr>
                <w:sz w:val="22"/>
                <w:szCs w:val="22"/>
              </w:rPr>
            </w:pPr>
          </w:p>
        </w:tc>
      </w:tr>
      <w:tr w:rsidR="004215AD" w:rsidRPr="00555040" w14:paraId="36E93B0B" w14:textId="77777777" w:rsidTr="006B6A48">
        <w:trPr>
          <w:trHeight w:val="280"/>
          <w:jc w:val="center"/>
        </w:trPr>
        <w:tc>
          <w:tcPr>
            <w:tcW w:w="4820" w:type="dxa"/>
          </w:tcPr>
          <w:p w14:paraId="4292B3D1" w14:textId="72780B60" w:rsidR="004215AD" w:rsidRDefault="004215AD" w:rsidP="004215AD">
            <w:pPr>
              <w:rPr>
                <w:bCs/>
              </w:rPr>
            </w:pPr>
            <w:r w:rsidRPr="006F2F7A">
              <w:t>min. mechanicky ovládaná podpera oja</w:t>
            </w:r>
            <w:r>
              <w:t xml:space="preserve"> </w:t>
            </w:r>
            <w:r w:rsidRPr="006F2F7A">
              <w:t>( záves - oko 50 mm)</w:t>
            </w:r>
          </w:p>
        </w:tc>
        <w:tc>
          <w:tcPr>
            <w:tcW w:w="2268" w:type="dxa"/>
          </w:tcPr>
          <w:p w14:paraId="11092BBA" w14:textId="0259508C" w:rsidR="004215AD" w:rsidRDefault="004215AD" w:rsidP="004215AD">
            <w:pPr>
              <w:rPr>
                <w:rFonts w:eastAsia="Cambria"/>
              </w:rPr>
            </w:pPr>
            <w:r>
              <w:t>áno</w:t>
            </w:r>
          </w:p>
        </w:tc>
        <w:tc>
          <w:tcPr>
            <w:tcW w:w="2268" w:type="dxa"/>
          </w:tcPr>
          <w:p w14:paraId="27DF2709" w14:textId="77777777" w:rsidR="004215AD" w:rsidRPr="00555040" w:rsidRDefault="004215AD" w:rsidP="004215AD">
            <w:pPr>
              <w:rPr>
                <w:sz w:val="22"/>
                <w:szCs w:val="22"/>
              </w:rPr>
            </w:pPr>
          </w:p>
        </w:tc>
      </w:tr>
      <w:tr w:rsidR="004215AD" w:rsidRPr="00555040" w14:paraId="2AF7EFAC" w14:textId="77777777" w:rsidTr="006B6A48">
        <w:trPr>
          <w:trHeight w:val="280"/>
          <w:jc w:val="center"/>
        </w:trPr>
        <w:tc>
          <w:tcPr>
            <w:tcW w:w="4820" w:type="dxa"/>
          </w:tcPr>
          <w:p w14:paraId="47C5DEE8" w14:textId="3773C947" w:rsidR="004215AD" w:rsidRDefault="004215AD" w:rsidP="004215AD">
            <w:pPr>
              <w:rPr>
                <w:bCs/>
              </w:rPr>
            </w:pPr>
            <w:r w:rsidRPr="006F2F7A">
              <w:t>diaľkové ovládanie funkcií stroja</w:t>
            </w:r>
          </w:p>
        </w:tc>
        <w:tc>
          <w:tcPr>
            <w:tcW w:w="2268" w:type="dxa"/>
          </w:tcPr>
          <w:p w14:paraId="0D054E17" w14:textId="6FFD6808" w:rsidR="004215AD" w:rsidRDefault="004215AD" w:rsidP="004215AD">
            <w:pPr>
              <w:rPr>
                <w:rFonts w:eastAsia="Cambria"/>
              </w:rPr>
            </w:pPr>
            <w:r>
              <w:t>áno</w:t>
            </w:r>
          </w:p>
        </w:tc>
        <w:tc>
          <w:tcPr>
            <w:tcW w:w="2268" w:type="dxa"/>
          </w:tcPr>
          <w:p w14:paraId="1F9179BC" w14:textId="77777777" w:rsidR="004215AD" w:rsidRPr="00555040" w:rsidRDefault="004215AD" w:rsidP="004215AD">
            <w:pPr>
              <w:rPr>
                <w:sz w:val="22"/>
                <w:szCs w:val="22"/>
              </w:rPr>
            </w:pPr>
          </w:p>
        </w:tc>
      </w:tr>
      <w:tr w:rsidR="004215AD" w:rsidRPr="00555040" w14:paraId="289D6E93" w14:textId="77777777" w:rsidTr="006B6A48">
        <w:trPr>
          <w:trHeight w:val="280"/>
          <w:jc w:val="center"/>
        </w:trPr>
        <w:tc>
          <w:tcPr>
            <w:tcW w:w="4820" w:type="dxa"/>
          </w:tcPr>
          <w:p w14:paraId="0CD35ACB" w14:textId="678CF76F" w:rsidR="004215AD" w:rsidRDefault="004215AD" w:rsidP="004215AD">
            <w:pPr>
              <w:rPr>
                <w:bCs/>
              </w:rPr>
            </w:pPr>
            <w:r w:rsidRPr="006F2F7A">
              <w:t>el. inštalácia 24 V</w:t>
            </w:r>
          </w:p>
        </w:tc>
        <w:tc>
          <w:tcPr>
            <w:tcW w:w="2268" w:type="dxa"/>
          </w:tcPr>
          <w:p w14:paraId="234EDCEA" w14:textId="25FD5955" w:rsidR="004215AD" w:rsidRDefault="004215AD" w:rsidP="004215AD">
            <w:pPr>
              <w:rPr>
                <w:rFonts w:eastAsia="Cambria"/>
              </w:rPr>
            </w:pPr>
            <w:r>
              <w:t>áno</w:t>
            </w:r>
          </w:p>
        </w:tc>
        <w:tc>
          <w:tcPr>
            <w:tcW w:w="2268" w:type="dxa"/>
          </w:tcPr>
          <w:p w14:paraId="237DB535" w14:textId="77777777" w:rsidR="004215AD" w:rsidRPr="00555040" w:rsidRDefault="004215AD" w:rsidP="004215AD">
            <w:pPr>
              <w:rPr>
                <w:sz w:val="22"/>
                <w:szCs w:val="22"/>
              </w:rPr>
            </w:pPr>
          </w:p>
        </w:tc>
      </w:tr>
      <w:tr w:rsidR="004215AD" w:rsidRPr="00555040" w14:paraId="609549A8" w14:textId="77777777" w:rsidTr="002235D1">
        <w:trPr>
          <w:trHeight w:val="280"/>
          <w:jc w:val="center"/>
        </w:trPr>
        <w:tc>
          <w:tcPr>
            <w:tcW w:w="4820" w:type="dxa"/>
          </w:tcPr>
          <w:p w14:paraId="0E682A3C" w14:textId="0358DCF6" w:rsidR="004215AD" w:rsidRDefault="004215AD" w:rsidP="004215AD">
            <w:pPr>
              <w:rPr>
                <w:bCs/>
              </w:rPr>
            </w:pPr>
            <w:r w:rsidRPr="006F2F7A">
              <w:t>výkon triediča</w:t>
            </w:r>
          </w:p>
        </w:tc>
        <w:tc>
          <w:tcPr>
            <w:tcW w:w="2268" w:type="dxa"/>
            <w:vAlign w:val="center"/>
          </w:tcPr>
          <w:p w14:paraId="4D28EBDB" w14:textId="03217CFF" w:rsidR="004215AD" w:rsidRDefault="004215AD" w:rsidP="004215AD">
            <w:pPr>
              <w:rPr>
                <w:rFonts w:eastAsia="Cambria"/>
              </w:rPr>
            </w:pPr>
            <w:r w:rsidRPr="006F2F7A">
              <w:t>min. 100 m3 /hod.</w:t>
            </w:r>
          </w:p>
        </w:tc>
        <w:tc>
          <w:tcPr>
            <w:tcW w:w="2268" w:type="dxa"/>
          </w:tcPr>
          <w:p w14:paraId="35ED02E8" w14:textId="77777777" w:rsidR="004215AD" w:rsidRPr="00555040" w:rsidRDefault="004215AD" w:rsidP="004215AD">
            <w:pPr>
              <w:rPr>
                <w:sz w:val="22"/>
                <w:szCs w:val="22"/>
              </w:rPr>
            </w:pPr>
          </w:p>
        </w:tc>
      </w:tr>
      <w:tr w:rsidR="004215AD" w:rsidRPr="00555040" w14:paraId="63F59CD7" w14:textId="77777777" w:rsidTr="002235D1">
        <w:trPr>
          <w:trHeight w:val="280"/>
          <w:jc w:val="center"/>
        </w:trPr>
        <w:tc>
          <w:tcPr>
            <w:tcW w:w="4820" w:type="dxa"/>
          </w:tcPr>
          <w:p w14:paraId="4861C212" w14:textId="36C4FBE2" w:rsidR="004215AD" w:rsidRDefault="004215AD" w:rsidP="004215AD">
            <w:pPr>
              <w:rPr>
                <w:bCs/>
              </w:rPr>
            </w:pPr>
            <w:r w:rsidRPr="006F2F7A">
              <w:t xml:space="preserve">hmotnosť zariadenia </w:t>
            </w:r>
          </w:p>
        </w:tc>
        <w:tc>
          <w:tcPr>
            <w:tcW w:w="2268" w:type="dxa"/>
            <w:vAlign w:val="center"/>
          </w:tcPr>
          <w:p w14:paraId="695F1A62" w14:textId="3DFFDE40" w:rsidR="004215AD" w:rsidRDefault="004215AD" w:rsidP="004215AD">
            <w:pPr>
              <w:rPr>
                <w:rFonts w:eastAsia="Cambria"/>
              </w:rPr>
            </w:pPr>
            <w:r>
              <w:t xml:space="preserve">max. </w:t>
            </w:r>
            <w:r w:rsidRPr="006F2F7A">
              <w:t>19 000 kg</w:t>
            </w:r>
          </w:p>
        </w:tc>
        <w:tc>
          <w:tcPr>
            <w:tcW w:w="2268" w:type="dxa"/>
          </w:tcPr>
          <w:p w14:paraId="00840662" w14:textId="77777777" w:rsidR="004215AD" w:rsidRPr="00555040" w:rsidRDefault="004215AD" w:rsidP="004215AD">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4DE0BA82" w:rsidR="0029197F" w:rsidRPr="00555040" w:rsidRDefault="004215AD" w:rsidP="0046539F">
            <w:pPr>
              <w:rPr>
                <w:sz w:val="22"/>
                <w:szCs w:val="22"/>
              </w:rPr>
            </w:pPr>
            <w:r w:rsidRPr="004215AD">
              <w:rPr>
                <w:noProof/>
                <w:sz w:val="22"/>
                <w:szCs w:val="22"/>
              </w:rPr>
              <w:t>Sito na triedenie kompostu</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15AD"/>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2902</Words>
  <Characters>16542</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2021-03-30T16:26:00Z</dcterms:created>
  <dcterms:modified xsi:type="dcterms:W3CDTF">2021-03-30T16:26:00Z</dcterms:modified>
</cp:coreProperties>
</file>