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F24C7B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r>
        <w:rPr>
          <w:rFonts w:asciiTheme="minorHAnsi" w:hAnsiTheme="minorHAnsi"/>
          <w:b/>
          <w:caps w:val="0"/>
          <w:sz w:val="22"/>
          <w:szCs w:val="22"/>
        </w:rPr>
        <w:t>Zmluva o dielo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nasl.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č. zmluvy Zhotoviteľ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s.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CA40D9" w:rsidRDefault="00C90262" w:rsidP="00BC1213">
      <w:pPr>
        <w:spacing w:after="0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3A1792"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29037E" w:rsidRPr="00CA40D9">
        <w:rPr>
          <w:rFonts w:asciiTheme="minorHAnsi" w:hAnsiTheme="minorHAnsi"/>
          <w:b/>
          <w:sz w:val="21"/>
          <w:szCs w:val="21"/>
        </w:rPr>
        <w:t>Zhotoviteľ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Zhotoviteľ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503F46">
        <w:rPr>
          <w:rFonts w:ascii="Tahoma" w:hAnsi="Tahoma" w:cs="Tahoma"/>
          <w:sz w:val="18"/>
          <w:szCs w:val="18"/>
          <w:lang w:eastAsia="sk-SK"/>
        </w:rPr>
        <w:t>Vzduchotechnika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. </w:t>
      </w:r>
      <w:r w:rsidR="00F24C7B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122A33" w:rsidRPr="00CA40D9">
        <w:rPr>
          <w:rFonts w:asciiTheme="minorHAnsi" w:hAnsiTheme="minorHAnsi"/>
          <w:b/>
          <w:sz w:val="21"/>
          <w:szCs w:val="21"/>
        </w:rPr>
        <w:t>uskutočnenia stavebných prác</w:t>
      </w:r>
    </w:p>
    <w:p w:rsidR="00165CB1" w:rsidRPr="00CA40D9" w:rsidRDefault="0029037E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0" w:name="_Toc339369265"/>
      <w:r w:rsidRPr="00CA40D9">
        <w:rPr>
          <w:rFonts w:asciiTheme="minorHAnsi" w:hAnsiTheme="minorHAnsi"/>
          <w:caps w:val="0"/>
          <w:sz w:val="21"/>
          <w:szCs w:val="21"/>
        </w:rPr>
        <w:t>Zhotoviteľ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 w:rsidRPr="00CA40D9">
        <w:rPr>
          <w:rFonts w:asciiTheme="minorHAnsi" w:hAnsiTheme="minorHAnsi"/>
          <w:caps w:val="0"/>
          <w:sz w:val="21"/>
          <w:szCs w:val="21"/>
        </w:rPr>
        <w:t>uskutočniť pre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Pr="00CA40D9">
        <w:rPr>
          <w:rFonts w:asciiTheme="minorHAnsi" w:hAnsiTheme="minorHAnsi"/>
          <w:caps w:val="0"/>
          <w:sz w:val="21"/>
          <w:szCs w:val="21"/>
        </w:rPr>
        <w:t>Objednávateľa stavebné práce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F24C7B">
        <w:rPr>
          <w:rFonts w:asciiTheme="minorHAnsi" w:hAnsiTheme="minorHAnsi"/>
          <w:caps w:val="0"/>
          <w:sz w:val="21"/>
          <w:szCs w:val="21"/>
        </w:rPr>
        <w:t xml:space="preserve">projektovej dokumentácii 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F24C7B">
        <w:rPr>
          <w:rFonts w:asciiTheme="minorHAnsi" w:hAnsiTheme="minorHAnsi"/>
          <w:caps w:val="0"/>
          <w:sz w:val="21"/>
          <w:szCs w:val="21"/>
        </w:rPr>
        <w:t xml:space="preserve">a súvisiacom dokumente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 w:rsidRPr="00CA40D9">
        <w:rPr>
          <w:rFonts w:asciiTheme="minorHAnsi" w:hAnsiTheme="minorHAnsi"/>
          <w:caps w:val="0"/>
          <w:sz w:val="21"/>
          <w:szCs w:val="21"/>
        </w:rPr>
        <w:t>stavebné práce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Pr="00CA40D9">
        <w:rPr>
          <w:rFonts w:asciiTheme="minorHAnsi" w:hAnsiTheme="minorHAnsi"/>
          <w:caps w:val="0"/>
          <w:sz w:val="21"/>
          <w:szCs w:val="21"/>
        </w:rPr>
        <w:t xml:space="preserve"> v najvyššej možnej kvalite a s odbornou starostlivosťou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0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včas, </w:t>
      </w:r>
      <w:r w:rsidRPr="00CA40D9">
        <w:rPr>
          <w:rFonts w:asciiTheme="minorHAnsi" w:hAnsiTheme="minorHAnsi"/>
          <w:sz w:val="21"/>
          <w:szCs w:val="21"/>
        </w:rPr>
        <w:t xml:space="preserve">odborne </w:t>
      </w:r>
      <w:r w:rsidR="002F2C81" w:rsidRPr="00CA40D9">
        <w:rPr>
          <w:rFonts w:asciiTheme="minorHAnsi" w:hAnsiTheme="minorHAnsi"/>
          <w:sz w:val="21"/>
          <w:szCs w:val="21"/>
        </w:rPr>
        <w:t xml:space="preserve"> a kvalitne </w:t>
      </w:r>
      <w:r w:rsidRPr="00CA40D9">
        <w:rPr>
          <w:rFonts w:asciiTheme="minorHAnsi" w:hAnsiTheme="minorHAnsi"/>
          <w:sz w:val="21"/>
          <w:szCs w:val="21"/>
        </w:rPr>
        <w:t xml:space="preserve">vykonané stavebné práce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Pr="00CA40D9">
        <w:rPr>
          <w:rFonts w:asciiTheme="minorHAnsi" w:hAnsiTheme="minorHAnsi"/>
          <w:sz w:val="21"/>
          <w:szCs w:val="21"/>
        </w:rPr>
        <w:t>Zhotoviteľovi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Zhotoviteľ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 w:rsidRPr="00CA40D9">
        <w:rPr>
          <w:rFonts w:asciiTheme="minorHAnsi" w:hAnsiTheme="minorHAnsi"/>
          <w:sz w:val="21"/>
          <w:szCs w:val="21"/>
        </w:rPr>
        <w:t>uskutočniť stavebné práce podľa požiadaviek Objednávateľa</w:t>
      </w:r>
      <w:r w:rsidR="00F24C7B">
        <w:rPr>
          <w:rFonts w:asciiTheme="minorHAnsi" w:hAnsiTheme="minorHAnsi"/>
          <w:sz w:val="21"/>
          <w:szCs w:val="21"/>
        </w:rPr>
        <w:t xml:space="preserve"> po tom ako ho Objednávateľ vyzve na ich uskutočnenie.</w:t>
      </w:r>
      <w:r w:rsidR="00122A33" w:rsidRPr="00CA40D9">
        <w:rPr>
          <w:rFonts w:asciiTheme="minorHAnsi" w:hAnsiTheme="minorHAnsi"/>
          <w:sz w:val="21"/>
          <w:szCs w:val="21"/>
        </w:rPr>
        <w:t>. Ak sa zmluvné strany nedohodnú inak, bud</w:t>
      </w:r>
      <w:r w:rsidR="00F24C7B">
        <w:rPr>
          <w:rFonts w:asciiTheme="minorHAnsi" w:hAnsiTheme="minorHAnsi"/>
          <w:sz w:val="21"/>
          <w:szCs w:val="21"/>
        </w:rPr>
        <w:t xml:space="preserve">e výzva na uskutočnenie stavebných prác  zaslaná </w:t>
      </w:r>
      <w:r w:rsidR="00122A33" w:rsidRPr="00CA40D9">
        <w:rPr>
          <w:rFonts w:asciiTheme="minorHAnsi" w:hAnsiTheme="minorHAnsi"/>
          <w:sz w:val="21"/>
          <w:szCs w:val="21"/>
        </w:rPr>
        <w:t xml:space="preserve">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122A33" w:rsidRPr="00CA40D9" w:rsidRDefault="00F24C7B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Ak sa zmluvné strany nedohodnú Zhotoviteľ je povinný </w:t>
      </w:r>
      <w:r w:rsidR="00122A33" w:rsidRPr="00CA40D9">
        <w:rPr>
          <w:rFonts w:asciiTheme="minorHAnsi" w:hAnsiTheme="minorHAnsi"/>
          <w:sz w:val="21"/>
          <w:szCs w:val="21"/>
        </w:rPr>
        <w:t> </w:t>
      </w:r>
      <w:r>
        <w:rPr>
          <w:rFonts w:asciiTheme="minorHAnsi" w:hAnsiTheme="minorHAnsi"/>
          <w:sz w:val="21"/>
          <w:szCs w:val="21"/>
        </w:rPr>
        <w:t xml:space="preserve">prevziať stavenisko a </w:t>
      </w:r>
      <w:r w:rsidR="00122A33" w:rsidRPr="00CA40D9">
        <w:rPr>
          <w:rFonts w:asciiTheme="minorHAnsi" w:hAnsiTheme="minorHAnsi"/>
          <w:sz w:val="21"/>
          <w:szCs w:val="21"/>
        </w:rPr>
        <w:t xml:space="preserve"> nástup pracovníkov vykonávajúcich stavebné práce na miest</w:t>
      </w:r>
      <w:r w:rsidR="007D651E">
        <w:rPr>
          <w:rFonts w:asciiTheme="minorHAnsi" w:hAnsiTheme="minorHAnsi"/>
          <w:sz w:val="21"/>
          <w:szCs w:val="21"/>
        </w:rPr>
        <w:t xml:space="preserve">a výkonu práce do </w:t>
      </w:r>
      <w:r w:rsidR="00503F46">
        <w:rPr>
          <w:rFonts w:asciiTheme="minorHAnsi" w:hAnsiTheme="minorHAnsi"/>
          <w:sz w:val="21"/>
          <w:szCs w:val="21"/>
        </w:rPr>
        <w:t xml:space="preserve"> </w:t>
      </w:r>
      <w:r w:rsidR="00B72DBB">
        <w:rPr>
          <w:rFonts w:asciiTheme="minorHAnsi" w:hAnsiTheme="minorHAnsi"/>
          <w:sz w:val="21"/>
          <w:szCs w:val="21"/>
        </w:rPr>
        <w:t>10</w:t>
      </w:r>
      <w:r w:rsidR="00503F46">
        <w:rPr>
          <w:rFonts w:asciiTheme="minorHAnsi" w:hAnsiTheme="minorHAnsi"/>
          <w:sz w:val="21"/>
          <w:szCs w:val="21"/>
        </w:rPr>
        <w:t xml:space="preserve"> </w:t>
      </w:r>
      <w:r w:rsidR="007D651E">
        <w:rPr>
          <w:rFonts w:asciiTheme="minorHAnsi" w:hAnsiTheme="minorHAnsi"/>
          <w:sz w:val="21"/>
          <w:szCs w:val="21"/>
        </w:rPr>
        <w:t>pracov</w:t>
      </w:r>
      <w:r w:rsidR="00122A33" w:rsidRPr="00CA40D9">
        <w:rPr>
          <w:rFonts w:asciiTheme="minorHAnsi" w:hAnsiTheme="minorHAnsi"/>
          <w:sz w:val="21"/>
          <w:szCs w:val="21"/>
        </w:rPr>
        <w:t xml:space="preserve">ných dní odo dňa odoslania </w:t>
      </w:r>
      <w:r>
        <w:rPr>
          <w:rFonts w:asciiTheme="minorHAnsi" w:hAnsiTheme="minorHAnsi"/>
          <w:sz w:val="21"/>
          <w:szCs w:val="21"/>
        </w:rPr>
        <w:t xml:space="preserve">výzvy.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výkonu stavebných prác je </w:t>
      </w:r>
      <w:r w:rsidR="00503F46">
        <w:rPr>
          <w:rFonts w:asciiTheme="minorHAnsi" w:hAnsiTheme="minorHAnsi"/>
          <w:sz w:val="21"/>
          <w:szCs w:val="21"/>
        </w:rPr>
        <w:t xml:space="preserve">Zimný štadión v </w:t>
      </w:r>
      <w:r w:rsidRPr="00CA40D9">
        <w:rPr>
          <w:rFonts w:asciiTheme="minorHAnsi" w:hAnsiTheme="minorHAnsi"/>
          <w:sz w:val="21"/>
          <w:szCs w:val="21"/>
        </w:rPr>
        <w:t xml:space="preserve"> Žiar</w:t>
      </w:r>
      <w:r w:rsidR="00503F46">
        <w:rPr>
          <w:rFonts w:asciiTheme="minorHAnsi" w:hAnsiTheme="minorHAnsi"/>
          <w:sz w:val="21"/>
          <w:szCs w:val="21"/>
        </w:rPr>
        <w:t>i</w:t>
      </w:r>
      <w:r w:rsidRPr="00CA40D9">
        <w:rPr>
          <w:rFonts w:asciiTheme="minorHAnsi" w:hAnsiTheme="minorHAnsi"/>
          <w:sz w:val="21"/>
          <w:szCs w:val="21"/>
        </w:rPr>
        <w:t xml:space="preserve">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701770" w:rsidRPr="00CA40D9" w:rsidRDefault="00701770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122A33" w:rsidRPr="00CA40D9">
        <w:rPr>
          <w:rFonts w:asciiTheme="minorHAnsi" w:hAnsiTheme="minorHAnsi"/>
          <w:sz w:val="21"/>
          <w:szCs w:val="21"/>
        </w:rPr>
        <w:t xml:space="preserve">uskutočnené stavebné práce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výkonu práce a 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z</w:t>
      </w:r>
      <w:r w:rsidRPr="00CA40D9">
        <w:rPr>
          <w:rFonts w:asciiTheme="minorHAnsi" w:hAnsiTheme="minorHAnsi"/>
          <w:bCs/>
          <w:sz w:val="21"/>
          <w:szCs w:val="21"/>
        </w:rPr>
        <w:t>mluvy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Zhotoviteľovi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uskutočnením stavebných prác v požadovanom rozsahu a kvalite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 stanovenej lehote</w:t>
      </w:r>
      <w:r w:rsidR="00F24C7B">
        <w:rPr>
          <w:rFonts w:asciiTheme="minorHAnsi" w:hAnsi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fakturovaná </w:t>
      </w:r>
      <w:r w:rsidR="00F24C7B">
        <w:rPr>
          <w:rFonts w:asciiTheme="minorHAnsi" w:hAnsiTheme="minorHAnsi"/>
          <w:sz w:val="21"/>
          <w:szCs w:val="21"/>
          <w:lang w:eastAsia="sk-SK"/>
        </w:rPr>
        <w:t>Objednávateľovi až po úplnom dokončení a úspešnom odovzdaní diela</w:t>
      </w:r>
      <w:r w:rsidRPr="00CA40D9">
        <w:rPr>
          <w:rFonts w:asciiTheme="minorHAnsi" w:hAnsiTheme="minorHAnsi"/>
          <w:sz w:val="21"/>
          <w:szCs w:val="21"/>
          <w:lang w:eastAsia="sk-SK"/>
        </w:rPr>
        <w:t>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</w:t>
      </w:r>
      <w:r w:rsidR="00F24C7B">
        <w:rPr>
          <w:rFonts w:asciiTheme="minorHAnsi" w:hAnsiTheme="minorHAnsi"/>
          <w:sz w:val="21"/>
          <w:szCs w:val="21"/>
          <w:lang w:eastAsia="sk-SK"/>
        </w:rPr>
        <w:t xml:space="preserve">finančný a materiálový rozsah 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>uskutočnených stavebných prác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F24C7B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>0 dní od dňa doručenia faktúr</w:t>
      </w:r>
      <w:r w:rsidR="00F24C7B">
        <w:rPr>
          <w:rFonts w:asciiTheme="minorHAnsi" w:hAnsiTheme="minorHAnsi"/>
          <w:sz w:val="21"/>
          <w:szCs w:val="21"/>
          <w:lang w:eastAsia="sk-SK"/>
        </w:rPr>
        <w:t>y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F24C7B">
        <w:rPr>
          <w:rFonts w:asciiTheme="minorHAnsi" w:hAnsiTheme="minorHAnsi"/>
          <w:sz w:val="21"/>
          <w:szCs w:val="21"/>
          <w:lang w:eastAsia="sk-SK"/>
        </w:rPr>
        <w:t>Objednávateľovi.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Zhotoviteľ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nasl. Obchodného zákonníka.</w:t>
      </w:r>
    </w:p>
    <w:p w:rsidR="00651226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Zhotoviteľa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F622E" w:rsidRPr="00CA40D9" w:rsidRDefault="006F622E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  <w:lang w:eastAsia="sk-SK"/>
        </w:rPr>
        <w:t>V prípade, ak bude Zhotoviteľovi objektívne zne</w:t>
      </w:r>
      <w:bookmarkStart w:id="1" w:name="_GoBack"/>
      <w:bookmarkEnd w:id="1"/>
      <w:r>
        <w:rPr>
          <w:rFonts w:asciiTheme="minorHAnsi" w:hAnsiTheme="minorHAnsi"/>
          <w:sz w:val="21"/>
          <w:szCs w:val="21"/>
          <w:lang w:eastAsia="sk-SK"/>
        </w:rPr>
        <w:t>možnené pokračovanie stavebných prác z dôvodov prekážok na strane Objednávateľa, Objednávateľ si vyhradzuje právo uhradiť Zhotoviteľovi skutočne zrealizované časti diela podľa projektovej dokumentácie.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 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</w:rPr>
        <w:t>Zhotoviteľ zodpovedá za to, že uskutočnené stavebné práce budú vykonávané v najvyššej možnej kvalite, s odbornou starostlivosťou pomocou</w:t>
      </w:r>
      <w:r w:rsidR="00DA2F03" w:rsidRPr="00CA40D9">
        <w:rPr>
          <w:rFonts w:asciiTheme="minorHAnsi" w:hAnsiTheme="minorHAnsi"/>
          <w:sz w:val="21"/>
          <w:szCs w:val="21"/>
        </w:rPr>
        <w:t xml:space="preserve">  </w:t>
      </w:r>
      <w:r w:rsidRPr="00CA40D9">
        <w:rPr>
          <w:rFonts w:asciiTheme="minorHAnsi" w:hAnsiTheme="minorHAnsi"/>
          <w:sz w:val="21"/>
          <w:szCs w:val="21"/>
        </w:rPr>
        <w:t>pracovníkov</w:t>
      </w:r>
      <w:r w:rsidR="00DA2F03" w:rsidRPr="00CA40D9">
        <w:rPr>
          <w:rFonts w:asciiTheme="minorHAnsi" w:hAnsiTheme="minorHAnsi"/>
          <w:sz w:val="21"/>
          <w:szCs w:val="21"/>
        </w:rPr>
        <w:t xml:space="preserve"> s príslušnou kvalifikáciou/odbornosťou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</w:rPr>
        <w:t xml:space="preserve">Stavebné práce majú vady ak: </w:t>
      </w:r>
    </w:p>
    <w:p w:rsidR="005202DB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a) nie sú uskutočnené v dohodnutej kvalite, </w:t>
      </w:r>
    </w:p>
    <w:p w:rsidR="005202DB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b) vykazujú nedorobky, t.j. nie sú uskutočnené v celom dohodnutom rozsahu,</w:t>
      </w:r>
    </w:p>
    <w:p w:rsidR="00F24C7B" w:rsidRDefault="005202D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c) má právne vady v zmysle § 433 Obchodného zákonníka v platnom znení</w:t>
      </w:r>
    </w:p>
    <w:p w:rsidR="005202DB" w:rsidRPr="00CA40D9" w:rsidRDefault="00F24C7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  <w:lang w:eastAsia="sk-SK"/>
        </w:rPr>
        <w:t>d) použité stavebné materiály sú zaťažené právami tretích strán.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Tieto vady je Objednávateľ povinný uviesť do odovzdávacieho/preberacieho protokolu a Zhotoviteľ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odchýlka v kvalite, rozsahu a parametroch uskutočnených stavebných prác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Ak Zhotoviteľ po podpise tejto Zmluvy a pred začatím uskutočňovania stavebných prác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Ak Zhotoviteľ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realizovať stavebné práce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nenastúpi na realizáciu stavebných prác podľa bodu 3.4 tejto Zmluvy, má Objednávateľ právo odstúpiť od tejto Zmluvy.</w:t>
      </w:r>
      <w:r w:rsidR="00F24C7B">
        <w:rPr>
          <w:rFonts w:asciiTheme="minorHAnsi" w:hAnsiTheme="minorHAnsi"/>
          <w:sz w:val="21"/>
          <w:szCs w:val="21"/>
        </w:rPr>
        <w:t xml:space="preserve"> Nenastúpenie resp. nedokončenie na stavebných práce sa považuje za podstatné porušenie odborných povinností.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Zhotoviteľom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Zhotoviteľ neodstráni zistené nedostatky na vykonaných stavebných prácach </w:t>
      </w:r>
      <w:r w:rsidRPr="00CA40D9">
        <w:rPr>
          <w:rFonts w:asciiTheme="minorHAnsi" w:hAnsiTheme="minorHAnsi"/>
          <w:color w:val="000000"/>
          <w:sz w:val="21"/>
          <w:szCs w:val="21"/>
        </w:rPr>
        <w:t>do 7 kalendárnych dní od uplatnenia reklamácie,   ak sa termín odstránenia zistených nedostatkov na stavebných prácach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Zhotoviteľ povinný bez vyzvania zaplatiť kupujúcemu zmluvnú pokutu vo výške </w:t>
      </w:r>
      <w:r w:rsidR="00F24C7B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300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Zhotoviteľovi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>Nesplnenie záväzku predávajúceho odstrániť zistený nedostatok po dobu dlhšiu ako 15 kalendárnych dní po určenom termíne je považované za podstatné porušenie tejto kúpnej zmluvy.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Zhotoviteľ </w:t>
      </w:r>
      <w:r w:rsidR="00F24C7B">
        <w:rPr>
          <w:rFonts w:asciiTheme="minorHAnsi" w:hAnsiTheme="minorHAnsi"/>
          <w:bCs/>
          <w:sz w:val="21"/>
          <w:szCs w:val="21"/>
        </w:rPr>
        <w:t>podpisom zmluvy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Pr="00CA40D9">
        <w:rPr>
          <w:rFonts w:asciiTheme="minorHAnsi" w:hAnsiTheme="minorHAnsi"/>
          <w:bCs/>
          <w:sz w:val="21"/>
          <w:szCs w:val="21"/>
        </w:rPr>
        <w:t>výslovne prehlasuje, že sú mu známe všetky podmienky uskutočnenia stavebných prác tiež všetky skutočnosti, ktoré sú rozhodujúce pre ich uskutočnenie. Dodatočné požiadavky Zhotoviteľa,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Zhotoviteľ  poskytuje Objednávateľovi  60 mesačnú  záruku na uskutočnené stavebné práce od dátumu odovzdania a prevzatia stavebných prác odovzdaných/prevzatých v protokole. </w:t>
      </w:r>
      <w:r w:rsidRPr="00CA40D9">
        <w:rPr>
          <w:rFonts w:asciiTheme="minorHAnsi" w:hAnsiTheme="minorHAnsi"/>
          <w:sz w:val="21"/>
          <w:szCs w:val="21"/>
        </w:rPr>
        <w:t xml:space="preserve">Záruka sa nevzťahuje na vady spôsobené nesprávnou manipuláciou s predmetom zmluvy, resp. jeho časťami, nedodržaním prevádzkových podmienok výrobcu, živelnou pohromou alebo vyššou mocou. </w:t>
      </w:r>
      <w:r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nevyhnutný na opravu/odstránenie záručnej vady. O tento nevyhnutný čas sa záručná doba predlžuje. Po túto dobu Zhotoviteľ zodpovedá Objednávateľovi, že 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lastRenderedPageBreak/>
        <w:t>Objednávateľ je povinný reklamáciu vady uskutočnených stavebných prác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Zhotoviteľ sa zaväzuje reklamáciu vybaviť v čo najkratšom možnom čase. Zhotoviteľ sa  zaväzuje vady/ poruchy odstrániť v mieste výkonu stavebných prác.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Zhotoviteľ je povinný najneskôr k dátumu podpisu tejto Zmluvy predložiť Objednávateľovi údaje o všetkým  známych subdodávateľoch Zhotoviteľa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Zmenu subdodávateľa nahlási Zhotoviteľ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F24C7B">
        <w:rPr>
          <w:rFonts w:asciiTheme="minorHAnsi" w:hAnsiTheme="minorHAnsi"/>
          <w:sz w:val="21"/>
          <w:szCs w:val="21"/>
        </w:rPr>
        <w:t xml:space="preserve">výkaz výmer </w:t>
      </w:r>
      <w:r w:rsidR="00B72DBB">
        <w:rPr>
          <w:rFonts w:asciiTheme="minorHAnsi" w:hAnsiTheme="minorHAnsi"/>
          <w:sz w:val="21"/>
          <w:szCs w:val="21"/>
        </w:rPr>
        <w:t>d</w:t>
      </w:r>
      <w:r w:rsidR="00F24C7B">
        <w:rPr>
          <w:rFonts w:asciiTheme="minorHAnsi" w:hAnsiTheme="minorHAnsi"/>
          <w:sz w:val="21"/>
          <w:szCs w:val="21"/>
        </w:rPr>
        <w:t>oručený Zhotoviteľom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D572D2" w:rsidRPr="00CA40D9">
        <w:rPr>
          <w:rFonts w:asciiTheme="minorHAnsi" w:hAnsiTheme="minorHAnsi" w:cs="Arial"/>
          <w:sz w:val="21"/>
          <w:szCs w:val="21"/>
        </w:rPr>
        <w:t>Zhotoviteľa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Zhotoviteľa: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sectPr w:rsidR="005142F0" w:rsidRPr="0056791A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CC" w:rsidRDefault="000579CC" w:rsidP="0087541F">
      <w:pPr>
        <w:spacing w:after="0" w:line="240" w:lineRule="auto"/>
      </w:pPr>
      <w:r>
        <w:separator/>
      </w:r>
    </w:p>
  </w:endnote>
  <w:endnote w:type="continuationSeparator" w:id="0">
    <w:p w:rsidR="000579CC" w:rsidRDefault="000579CC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2E">
          <w:rPr>
            <w:noProof/>
          </w:rPr>
          <w:t>3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CC" w:rsidRDefault="000579CC" w:rsidP="0087541F">
      <w:pPr>
        <w:spacing w:after="0" w:line="240" w:lineRule="auto"/>
      </w:pPr>
      <w:r>
        <w:separator/>
      </w:r>
    </w:p>
  </w:footnote>
  <w:footnote w:type="continuationSeparator" w:id="0">
    <w:p w:rsidR="000579CC" w:rsidRDefault="000579CC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4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19"/>
  </w:num>
  <w:num w:numId="8">
    <w:abstractNumId w:val="1"/>
  </w:num>
  <w:num w:numId="9">
    <w:abstractNumId w:val="16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1"/>
    <w:rsid w:val="000579CC"/>
    <w:rsid w:val="000C0537"/>
    <w:rsid w:val="000D0E4A"/>
    <w:rsid w:val="00122A33"/>
    <w:rsid w:val="00145998"/>
    <w:rsid w:val="001543A8"/>
    <w:rsid w:val="00163B8F"/>
    <w:rsid w:val="00165CB1"/>
    <w:rsid w:val="00186CD0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7EA8"/>
    <w:rsid w:val="003F1740"/>
    <w:rsid w:val="004B5D6B"/>
    <w:rsid w:val="004D34B9"/>
    <w:rsid w:val="004E7ED0"/>
    <w:rsid w:val="004F0B0B"/>
    <w:rsid w:val="00501FA1"/>
    <w:rsid w:val="00503F46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7200A"/>
    <w:rsid w:val="00674239"/>
    <w:rsid w:val="00677B5F"/>
    <w:rsid w:val="006A33CD"/>
    <w:rsid w:val="006D134E"/>
    <w:rsid w:val="006F622E"/>
    <w:rsid w:val="00701770"/>
    <w:rsid w:val="007444C6"/>
    <w:rsid w:val="007930BC"/>
    <w:rsid w:val="007975AB"/>
    <w:rsid w:val="007A5767"/>
    <w:rsid w:val="007D651E"/>
    <w:rsid w:val="007F3D13"/>
    <w:rsid w:val="00802A97"/>
    <w:rsid w:val="008702EC"/>
    <w:rsid w:val="00873E70"/>
    <w:rsid w:val="008747DD"/>
    <w:rsid w:val="0087541F"/>
    <w:rsid w:val="008B7C7F"/>
    <w:rsid w:val="008C3BEA"/>
    <w:rsid w:val="008D5EF5"/>
    <w:rsid w:val="00A06178"/>
    <w:rsid w:val="00A26544"/>
    <w:rsid w:val="00A65250"/>
    <w:rsid w:val="00A749FC"/>
    <w:rsid w:val="00A921FC"/>
    <w:rsid w:val="00AA2363"/>
    <w:rsid w:val="00AF2FA4"/>
    <w:rsid w:val="00B04888"/>
    <w:rsid w:val="00B202B4"/>
    <w:rsid w:val="00B43053"/>
    <w:rsid w:val="00B72DBB"/>
    <w:rsid w:val="00B83D9C"/>
    <w:rsid w:val="00B85438"/>
    <w:rsid w:val="00B9709C"/>
    <w:rsid w:val="00BC1213"/>
    <w:rsid w:val="00BE717C"/>
    <w:rsid w:val="00C31F1B"/>
    <w:rsid w:val="00C90262"/>
    <w:rsid w:val="00CA40D9"/>
    <w:rsid w:val="00CD68B9"/>
    <w:rsid w:val="00D572D2"/>
    <w:rsid w:val="00D61845"/>
    <w:rsid w:val="00D71F8D"/>
    <w:rsid w:val="00DA2F03"/>
    <w:rsid w:val="00DC24A3"/>
    <w:rsid w:val="00E25634"/>
    <w:rsid w:val="00E532C4"/>
    <w:rsid w:val="00F0308F"/>
    <w:rsid w:val="00F21707"/>
    <w:rsid w:val="00F24C7B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08DC-A217-4D27-A6CA-C78F3FFC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1480</Words>
  <Characters>8436</Characters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2018-01-10T11:43:00Z</cp:lastPrinted>
  <dcterms:created xsi:type="dcterms:W3CDTF">2018-01-09T15:23:00Z</dcterms:created>
  <dcterms:modified xsi:type="dcterms:W3CDTF">2018-10-11T19:22:00Z</dcterms:modified>
</cp:coreProperties>
</file>